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jc w:val="center"/>
        <w:rPr>
          <w:rFonts w:ascii="方正小标宋简体" w:hAnsi="方正小标宋简体" w:eastAsia="方正小标宋简体" w:cs="Calibri"/>
          <w:kern w:val="1"/>
          <w:sz w:val="44"/>
          <w:szCs w:val="44"/>
        </w:rPr>
      </w:pPr>
      <w:r>
        <w:rPr>
          <w:rFonts w:ascii="方正小标宋简体" w:hAnsi="方正小标宋简体" w:eastAsia="方正小标宋简体" w:cs="Calibri"/>
          <w:kern w:val="1"/>
          <w:sz w:val="44"/>
          <w:szCs w:val="44"/>
        </w:rPr>
      </w:r>
    </w:p>
    <w:p>
      <w:pPr>
        <w:spacing w:line="580" w:lineRule="exact"/>
        <w:jc w:val="center"/>
        <w:rPr>
          <w:rFonts w:ascii="方正小标宋简体" w:hAnsi="方正小标宋简体" w:eastAsia="方正小标宋简体" w:cs="Calibri" w:hint="eastAsia"/>
          <w:kern w:val="1"/>
          <w:sz w:val="44"/>
          <w:szCs w:val="44"/>
        </w:rPr>
      </w:pPr>
      <w:r>
        <w:rPr>
          <w:rFonts w:ascii="方正小标宋简体" w:hAnsi="方正小标宋简体" w:eastAsia="方正小标宋简体" w:cs="Calibri" w:hint="eastAsia"/>
          <w:kern w:val="1"/>
          <w:sz w:val="44"/>
          <w:szCs w:val="44"/>
        </w:rPr>
      </w:r>
    </w:p>
    <w:p>
      <w:pPr>
        <w:spacing w:line="580" w:lineRule="exact"/>
        <w:jc w:val="center"/>
        <w:rPr>
          <w:rFonts w:ascii="方正小标宋简体" w:hAnsi="方正小标宋简体" w:eastAsia="方正小标宋简体" w:cs="Calibri" w:hint="eastAsia"/>
          <w:kern w:val="1"/>
          <w:sz w:val="44"/>
          <w:szCs w:val="44"/>
        </w:rPr>
      </w:pPr>
      <w:r>
        <w:rPr>
          <w:rFonts w:ascii="方正小标宋简体" w:hAnsi="方正小标宋简体" w:eastAsia="方正小标宋简体" w:cs="Calibri" w:hint="eastAsia"/>
          <w:kern w:val="1"/>
          <w:sz w:val="44"/>
          <w:szCs w:val="44"/>
        </w:rPr>
      </w:r>
    </w:p>
    <w:p>
      <w:pPr>
        <w:spacing w:line="580" w:lineRule="exact"/>
        <w:jc w:val="center"/>
        <w:rPr>
          <w:rFonts w:ascii="方正小标宋简体" w:hAnsi="方正小标宋简体" w:eastAsia="方正小标宋简体" w:cs="Calibri" w:hint="eastAsia"/>
          <w:kern w:val="1"/>
          <w:sz w:val="44"/>
          <w:szCs w:val="44"/>
        </w:rPr>
      </w:pPr>
      <w:r>
        <w:rPr>
          <w:rFonts w:ascii="方正小标宋简体" w:hAnsi="方正小标宋简体" w:eastAsia="方正小标宋简体" w:cs="Calibri" w:hint="eastAsia"/>
          <w:kern w:val="1"/>
          <w:sz w:val="44"/>
          <w:szCs w:val="44"/>
        </w:rPr>
      </w:r>
    </w:p>
    <w:p>
      <w:pPr>
        <w:spacing w:line="580" w:lineRule="exact"/>
        <w:jc w:val="center"/>
        <w:rPr>
          <w:rFonts w:ascii="方正小标宋简体" w:hAnsi="方正小标宋简体" w:eastAsia="方正小标宋简体" w:cs="Calibri" w:hint="eastAsia"/>
          <w:kern w:val="1"/>
          <w:sz w:val="44"/>
          <w:szCs w:val="44"/>
        </w:rPr>
      </w:pPr>
      <w:r>
        <w:rPr>
          <w:rFonts w:ascii="方正小标宋简体" w:hAnsi="方正小标宋简体" w:eastAsia="方正小标宋简体" w:cs="Calibri" w:hint="eastAsia"/>
          <w:kern w:val="1"/>
          <w:sz w:val="44"/>
          <w:szCs w:val="44"/>
        </w:rPr>
      </w:r>
    </w:p>
    <w:p>
      <w:pPr>
        <w:spacing w:line="580" w:lineRule="exact"/>
        <w:jc w:val="center"/>
        <w:rPr>
          <w:rFonts w:ascii="方正小标宋简体" w:hAnsi="方正小标宋简体" w:eastAsia="方正小标宋简体" w:cs="Calibri" w:hint="eastAsia"/>
          <w:kern w:val="1"/>
          <w:sz w:val="44"/>
          <w:szCs w:val="44"/>
        </w:rPr>
      </w:pPr>
      <w:r>
        <w:rPr>
          <w:rFonts w:ascii="方正小标宋简体" w:hAnsi="方正小标宋简体" w:eastAsia="方正小标宋简体" w:cs="Calibri" w:hint="eastAsia"/>
          <w:kern w:val="1"/>
          <w:sz w:val="44"/>
          <w:szCs w:val="44"/>
        </w:rPr>
      </w:r>
    </w:p>
    <w:p>
      <w:pPr>
        <w:spacing w:line="580" w:lineRule="exact"/>
        <w:jc w:val="center"/>
        <w:rPr>
          <w:kern w:val="1"/>
        </w:rPr>
      </w:pPr>
      <w:r>
        <w:rPr>
          <w:rFonts w:ascii="仿宋_GB2312" w:hAnsi="仿宋_GB2312" w:eastAsia="仿宋_GB2312" w:hint="eastAsia"/>
          <w:kern w:val="1"/>
        </w:rPr>
        <w:t>鲁人社字〔</w:t>
      </w:r>
      <w:r>
        <w:rPr>
          <w:rFonts w:ascii="仿宋_GB2312" w:hAnsi="仿宋_GB2312" w:eastAsia="仿宋_GB2312" w:cs="宋体" w:hint="eastAsia"/>
          <w:kern w:val="1"/>
        </w:rPr>
        <w:t>2020</w:t>
      </w:r>
      <w:r>
        <w:rPr>
          <w:rFonts w:ascii="仿宋_GB2312" w:hAnsi="仿宋_GB2312" w:eastAsia="仿宋_GB2312" w:hint="eastAsia"/>
          <w:kern w:val="1"/>
        </w:rPr>
        <w:t>〕49号</w:t>
      </w:r>
      <w:r>
        <w:rPr>
          <w:kern w:val="1"/>
        </w:rPr>
      </w:r>
    </w:p>
    <w:p>
      <w:pPr>
        <w:spacing w:line="580" w:lineRule="exact"/>
        <w:jc w:val="center"/>
        <w:rPr>
          <w:rFonts w:ascii="方正小标宋简体" w:hAnsi="方正小标宋简体" w:eastAsia="方正小标宋简体" w:cs="Calibri"/>
          <w:kern w:val="1"/>
          <w:sz w:val="44"/>
          <w:szCs w:val="44"/>
        </w:rPr>
      </w:pPr>
      <w:r>
        <w:rPr>
          <w:rFonts w:ascii="方正小标宋简体" w:hAnsi="方正小标宋简体" w:eastAsia="方正小标宋简体" w:cs="Calibri"/>
          <w:kern w:val="1"/>
          <w:sz w:val="44"/>
          <w:szCs w:val="44"/>
        </w:rPr>
      </w:r>
    </w:p>
    <w:p>
      <w:pPr>
        <w:spacing w:line="580" w:lineRule="exact"/>
        <w:jc w:val="center"/>
        <w:rPr>
          <w:rFonts w:ascii="方正小标宋简体" w:hAnsi="方正小标宋简体" w:eastAsia="方正小标宋简体" w:cs="Calibri" w:hint="eastAsia"/>
          <w:kern w:val="1"/>
          <w:sz w:val="44"/>
          <w:szCs w:val="44"/>
        </w:rPr>
      </w:pPr>
      <w:r>
        <w:rPr>
          <w:rFonts w:ascii="方正小标宋简体" w:hAnsi="方正小标宋简体" w:eastAsia="方正小标宋简体" w:cs="Calibri" w:hint="eastAsia"/>
          <w:kern w:val="1"/>
          <w:sz w:val="44"/>
          <w:szCs w:val="44"/>
        </w:rPr>
      </w:r>
    </w:p>
    <w:p>
      <w:pPr>
        <w:spacing w:line="580" w:lineRule="exact"/>
        <w:jc w:val="center"/>
        <w:rPr>
          <w:rFonts w:ascii="方正小标宋简体" w:hAnsi="方正小标宋简体" w:eastAsia="方正小标宋简体" w:cs="黑体" w:hint="eastAsia"/>
          <w:kern w:val="1"/>
          <w:sz w:val="44"/>
          <w:szCs w:val="44"/>
        </w:rPr>
      </w:pPr>
      <w:r>
        <w:rPr>
          <w:rFonts w:ascii="方正小标宋简体" w:hAnsi="方正小标宋简体" w:eastAsia="方正小标宋简体" w:cs="黑体" w:hint="eastAsia"/>
          <w:kern w:val="1"/>
          <w:sz w:val="44"/>
          <w:szCs w:val="44"/>
        </w:rPr>
        <w:t>山东省人力资源和社会保障厅</w:t>
      </w:r>
    </w:p>
    <w:p>
      <w:pPr>
        <w:spacing w:line="580" w:lineRule="exact"/>
        <w:jc w:val="center"/>
        <w:rPr>
          <w:rFonts w:ascii="方正小标宋简体" w:hAnsi="方正小标宋简体" w:eastAsia="方正小标宋简体" w:cs="黑体"/>
          <w:kern w:val="1"/>
          <w:sz w:val="44"/>
          <w:szCs w:val="44"/>
        </w:rPr>
      </w:pPr>
      <w:r>
        <w:rPr>
          <w:rFonts w:ascii="方正小标宋简体" w:hAnsi="方正小标宋简体" w:eastAsia="方正小标宋简体" w:cs="黑体" w:hint="eastAsia"/>
          <w:kern w:val="1"/>
          <w:sz w:val="44"/>
          <w:szCs w:val="44"/>
        </w:rPr>
        <w:t>关于开展技工院校学生职业技能等级认定</w:t>
      </w:r>
      <w:r>
        <w:rPr>
          <w:rFonts w:ascii="方正小标宋简体" w:hAnsi="方正小标宋简体" w:eastAsia="方正小标宋简体" w:cs="黑体"/>
          <w:kern w:val="1"/>
          <w:sz w:val="44"/>
          <w:szCs w:val="44"/>
        </w:rPr>
      </w:r>
    </w:p>
    <w:p>
      <w:pPr>
        <w:spacing w:line="580" w:lineRule="exact"/>
        <w:jc w:val="center"/>
        <w:rPr>
          <w:rFonts w:ascii="方正小标宋简体" w:hAnsi="方正小标宋简体" w:eastAsia="方正小标宋简体" w:cs="黑体"/>
          <w:kern w:val="1"/>
          <w:sz w:val="44"/>
          <w:szCs w:val="44"/>
        </w:rPr>
      </w:pPr>
      <w:r>
        <w:rPr>
          <w:rFonts w:ascii="方正小标宋简体" w:hAnsi="方正小标宋简体" w:eastAsia="方正小标宋简体" w:cs="黑体" w:hint="eastAsia"/>
          <w:kern w:val="1"/>
          <w:sz w:val="44"/>
          <w:szCs w:val="44"/>
        </w:rPr>
        <w:t>工作的通知</w:t>
      </w:r>
      <w:r>
        <w:rPr>
          <w:rFonts w:ascii="方正小标宋简体" w:hAnsi="方正小标宋简体" w:eastAsia="方正小标宋简体" w:cs="黑体"/>
          <w:kern w:val="1"/>
          <w:sz w:val="44"/>
          <w:szCs w:val="44"/>
        </w:rPr>
      </w:r>
    </w:p>
    <w:p>
      <w:pPr>
        <w:spacing w:line="580" w:lineRule="exact"/>
        <w:rPr>
          <w:kern w:val="1"/>
        </w:rPr>
      </w:pPr>
      <w:r>
        <w:rPr>
          <w:kern w:val="1"/>
        </w:rPr>
      </w:r>
    </w:p>
    <w:p>
      <w:pPr>
        <w:spacing w:line="580" w:lineRule="exact"/>
        <w:rPr>
          <w:rFonts w:ascii="仿宋_GB2312" w:hAnsi="仿宋_GB2312" w:eastAsia="仿宋_GB2312" w:cs="黑体" w:hint="eastAsia"/>
          <w:kern w:val="1"/>
        </w:rPr>
      </w:pPr>
      <w:r>
        <w:rPr>
          <w:rFonts w:ascii="仿宋_GB2312" w:hAnsi="仿宋_GB2312" w:eastAsia="仿宋_GB2312" w:cs="黑体" w:hint="eastAsia"/>
          <w:kern w:val="1"/>
        </w:rPr>
        <w:t>各市人力资源社会保障局，省属技工院校：</w:t>
      </w:r>
    </w:p>
    <w:p>
      <w:pPr>
        <w:ind w:firstLine="632"/>
        <w:spacing w:line="580" w:lineRule="exact"/>
        <w:rPr>
          <w:rFonts w:ascii="仿宋_GB2312" w:hAnsi="仿宋_GB2312" w:eastAsia="仿宋_GB2312"/>
          <w:sz w:val="24"/>
        </w:rPr>
      </w:pPr>
      <w:r>
        <w:rPr>
          <w:rFonts w:ascii="仿宋_GB2312" w:hAnsi="仿宋_GB2312" w:eastAsia="仿宋_GB2312" w:hint="eastAsia"/>
          <w:bCs/>
        </w:rPr>
        <w:t>为贯彻落实《人力资源社会保障部关于改革完善技能人才评价制度的意见》（人社部发〔2019〕90号）和《关于做好技工院校学生职业技能等级认定试点工作的通知》（人社职司便函〔2019〕52号）精神，服务和支持技工院校培养技能人才，决定在我省开展技工院校学生职业技能等级认定工作。现就有关事项通知如下：</w:t>
      </w:r>
      <w:r>
        <w:rPr>
          <w:rFonts w:ascii="仿宋_GB2312" w:hAnsi="仿宋_GB2312" w:eastAsia="仿宋_GB2312"/>
          <w:sz w:val="24"/>
        </w:rPr>
      </w:r>
    </w:p>
    <w:p>
      <w:pPr>
        <w:ind w:firstLine="660"/>
        <w:spacing w:line="580" w:lineRule="exact"/>
        <w:rPr>
          <w:rFonts w:ascii="黑体" w:hAnsi="黑体" w:eastAsia="黑体" w:cs="黑体" w:hint="eastAsia"/>
          <w:bCs/>
        </w:rPr>
      </w:pPr>
      <w:r>
        <w:rPr>
          <w:rFonts w:ascii="黑体" w:hAnsi="黑体" w:eastAsia="黑体" w:cs="黑体" w:hint="eastAsia"/>
          <w:bCs/>
        </w:rPr>
        <w:t>一、职业技能等级认定主体</w:t>
      </w:r>
    </w:p>
    <w:p>
      <w:pPr>
        <w:ind w:firstLine="632"/>
        <w:spacing w:line="580" w:lineRule="exact"/>
        <w:rPr>
          <w:rFonts w:ascii="仿宋_GB2312" w:hAnsi="仿宋_GB2312" w:eastAsia="仿宋_GB2312" w:hint="eastAsia"/>
          <w:bCs/>
        </w:rPr>
      </w:pPr>
      <w:r>
        <w:rPr>
          <w:rFonts w:ascii="仿宋_GB2312" w:hAnsi="仿宋_GB2312" w:eastAsia="仿宋_GB2312" w:hint="eastAsia"/>
          <w:bCs/>
        </w:rPr>
        <w:t>（一）设有职业技能鉴定所（站）的技工院校（以下简称院校），经申请可</w:t>
      </w:r>
      <w:r>
        <w:rPr>
          <w:rFonts w:ascii="仿宋_GB2312" w:hAnsi="仿宋_GB2312" w:eastAsia="仿宋_GB2312" w:cs="仿宋" w:hint="eastAsia"/>
          <w:bCs/>
        </w:rPr>
        <w:t>开展本校学生职业技能等级认定</w:t>
      </w:r>
      <w:r>
        <w:rPr>
          <w:rFonts w:ascii="仿宋_GB2312" w:hAnsi="仿宋_GB2312" w:eastAsia="仿宋_GB2312" w:hint="eastAsia"/>
          <w:bCs/>
        </w:rPr>
        <w:t>。未设</w:t>
      </w:r>
      <w:r>
        <w:rPr>
          <w:rFonts w:ascii="仿宋_GB2312" w:hAnsi="仿宋_GB2312" w:eastAsia="仿宋_GB2312" w:cs="仿宋" w:hint="eastAsia"/>
          <w:bCs/>
        </w:rPr>
        <w:t>职业技能鉴定所（站）的院校，可先组建内设机构，完善相应的条件并达到标准要求，经评估后可开展本校学生职业技能等级认定。</w:t>
      </w:r>
      <w:r>
        <w:rPr>
          <w:rFonts w:ascii="仿宋_GB2312" w:hAnsi="仿宋_GB2312" w:eastAsia="仿宋_GB2312" w:hint="eastAsia"/>
          <w:bCs/>
        </w:rPr>
      </w:r>
    </w:p>
    <w:p>
      <w:pPr>
        <w:ind w:firstLine="632"/>
        <w:spacing w:line="600" w:lineRule="exact"/>
        <w:rPr>
          <w:rFonts w:ascii="仿宋_GB2312" w:hAnsi="仿宋_GB2312" w:eastAsia="仿宋_GB2312" w:cs="仿宋" w:hint="eastAsia"/>
          <w:bCs/>
        </w:rPr>
      </w:pPr>
      <w:r>
        <w:rPr>
          <w:rFonts w:ascii="仿宋_GB2312" w:hAnsi="仿宋_GB2312" w:eastAsia="仿宋_GB2312" w:hint="eastAsia"/>
          <w:bCs/>
        </w:rPr>
        <w:t>（二）</w:t>
      </w:r>
      <w:r>
        <w:rPr>
          <w:rFonts w:ascii="仿宋_GB2312" w:hAnsi="仿宋_GB2312" w:eastAsia="仿宋_GB2312" w:cs="仿宋" w:hint="eastAsia"/>
          <w:bCs/>
        </w:rPr>
        <w:t>经人力资源社会保障部门备案</w:t>
      </w:r>
      <w:r>
        <w:rPr>
          <w:rFonts w:ascii="仿宋_GB2312" w:hAnsi="仿宋_GB2312" w:eastAsia="仿宋_GB2312" w:hint="eastAsia"/>
          <w:bCs/>
        </w:rPr>
        <w:t>开展技能人才自主评价</w:t>
      </w:r>
      <w:r>
        <w:rPr>
          <w:rFonts w:ascii="仿宋_GB2312" w:hAnsi="仿宋_GB2312" w:eastAsia="仿宋_GB2312" w:cs="仿宋" w:hint="eastAsia"/>
          <w:bCs/>
        </w:rPr>
        <w:t>的企业，通过校企合作方式参与院校人才培养的，可为合作院校学生提供职业技能等级认定服务。</w:t>
      </w:r>
    </w:p>
    <w:p>
      <w:pPr>
        <w:ind w:firstLine="632"/>
        <w:spacing w:line="600" w:lineRule="exact"/>
        <w:rPr>
          <w:rFonts w:ascii="仿宋_GB2312" w:hAnsi="仿宋_GB2312" w:eastAsia="仿宋_GB2312" w:cs="仿宋" w:hint="eastAsia"/>
          <w:bCs/>
        </w:rPr>
      </w:pPr>
      <w:r>
        <w:rPr>
          <w:rFonts w:ascii="仿宋_GB2312" w:hAnsi="仿宋_GB2312" w:eastAsia="仿宋_GB2312" w:cs="楷体" w:hint="eastAsia"/>
          <w:bCs/>
        </w:rPr>
        <w:t>（三）</w:t>
      </w:r>
      <w:r>
        <w:rPr>
          <w:rFonts w:ascii="仿宋_GB2312" w:hAnsi="仿宋_GB2312" w:eastAsia="仿宋_GB2312" w:cs="仿宋" w:hint="eastAsia"/>
          <w:bCs/>
        </w:rPr>
        <w:t>经人力资源社会保障部门遴选可开展职业技能等级认定的社会培训评价组织，受院校委托，可为学生提供职业技能等级认定服务。</w:t>
      </w:r>
    </w:p>
    <w:p>
      <w:pPr>
        <w:ind w:firstLine="660"/>
        <w:spacing w:line="600" w:lineRule="exact"/>
        <w:rPr>
          <w:rFonts w:eastAsia="黑体" w:hint="eastAsia"/>
          <w:bCs/>
        </w:rPr>
      </w:pPr>
      <w:r>
        <w:rPr>
          <w:rFonts w:eastAsia="黑体" w:hint="eastAsia"/>
          <w:bCs/>
        </w:rPr>
        <w:t>二、职业技能等级认定主体条件</w:t>
      </w:r>
    </w:p>
    <w:p>
      <w:pPr>
        <w:ind w:firstLine="632"/>
        <w:spacing w:line="600" w:lineRule="exact"/>
        <w:rPr>
          <w:rFonts w:ascii="仿宋_GB2312" w:hAnsi="仿宋_GB2312" w:eastAsia="仿宋_GB2312" w:cs="楷体"/>
          <w:bCs/>
        </w:rPr>
      </w:pPr>
      <w:r>
        <w:rPr>
          <w:rFonts w:ascii="仿宋_GB2312" w:hAnsi="仿宋_GB2312" w:eastAsia="仿宋_GB2312" w:cs="楷体" w:hint="eastAsia"/>
          <w:bCs/>
        </w:rPr>
        <w:t>（一）符合以下条件的院校，可申请开展本校学生职业技能等级认定：</w:t>
      </w:r>
      <w:r>
        <w:rPr>
          <w:rFonts w:ascii="仿宋_GB2312" w:hAnsi="仿宋_GB2312" w:eastAsia="仿宋_GB2312" w:cs="楷体"/>
          <w:bCs/>
        </w:rPr>
      </w:r>
    </w:p>
    <w:p>
      <w:pPr>
        <w:ind w:firstLine="632"/>
        <w:spacing w:line="600" w:lineRule="exact"/>
        <w:rPr>
          <w:rFonts w:ascii="仿宋_GB2312" w:hAnsi="仿宋_GB2312" w:eastAsia="仿宋_GB2312" w:cs="仿宋" w:hint="eastAsia"/>
          <w:bCs/>
        </w:rPr>
      </w:pPr>
      <w:r>
        <w:rPr>
          <w:rFonts w:ascii="仿宋_GB2312" w:hAnsi="仿宋_GB2312" w:eastAsia="仿宋_GB2312" w:cs="仿宋" w:hint="eastAsia"/>
          <w:bCs/>
        </w:rPr>
        <w:t>1.在山东省行政区域内依法批准设立并完成法人登记注册，管理规范，社会信用良好，近五年连续招生；</w:t>
      </w:r>
    </w:p>
    <w:p>
      <w:pPr>
        <w:ind w:firstLine="632"/>
        <w:spacing w:line="600" w:lineRule="exact"/>
        <w:rPr>
          <w:rFonts w:ascii="仿宋_GB2312" w:hAnsi="仿宋_GB2312" w:eastAsia="仿宋_GB2312" w:cs="仿宋" w:hint="eastAsia"/>
          <w:bCs/>
        </w:rPr>
      </w:pPr>
      <w:r>
        <w:rPr>
          <w:rFonts w:ascii="仿宋_GB2312" w:hAnsi="仿宋_GB2312" w:eastAsia="仿宋_GB2312" w:cs="仿宋" w:hint="eastAsia"/>
          <w:bCs/>
        </w:rPr>
        <w:t>2.开展认定的职业（工种）应与院校已开设的专业相对应；</w:t>
      </w:r>
    </w:p>
    <w:p>
      <w:pPr>
        <w:ind w:firstLine="632"/>
        <w:spacing w:line="600" w:lineRule="exact"/>
        <w:rPr>
          <w:rFonts w:ascii="仿宋_GB2312" w:hAnsi="仿宋_GB2312" w:eastAsia="仿宋_GB2312" w:cs="仿宋" w:hint="eastAsia"/>
          <w:bCs/>
        </w:rPr>
      </w:pPr>
      <w:r>
        <w:rPr>
          <w:rFonts w:ascii="仿宋_GB2312" w:hAnsi="仿宋_GB2312" w:eastAsia="仿宋_GB2312" w:cs="仿宋" w:hint="eastAsia"/>
          <w:bCs/>
        </w:rPr>
        <w:t>3.设有专门负责职业技能等级认定工作的内部机构，配备与认定工作相适应的专职工作人员、考评人员；</w:t>
      </w:r>
    </w:p>
    <w:p>
      <w:pPr>
        <w:ind w:firstLine="632"/>
        <w:spacing w:line="600" w:lineRule="exact"/>
        <w:rPr>
          <w:rFonts w:ascii="仿宋_GB2312" w:hAnsi="仿宋_GB2312" w:eastAsia="仿宋_GB2312" w:cs="仿宋" w:hint="eastAsia"/>
          <w:bCs/>
        </w:rPr>
      </w:pPr>
      <w:r>
        <w:rPr>
          <w:rFonts w:ascii="仿宋_GB2312" w:hAnsi="仿宋_GB2312" w:eastAsia="仿宋_GB2312" w:cs="仿宋" w:hint="eastAsia"/>
          <w:bCs/>
        </w:rPr>
        <w:t>4.具有与所认定职业（工种）及其等级相适应的考核场地、设施设备和音视频监控设备；</w:t>
      </w:r>
    </w:p>
    <w:p>
      <w:pPr>
        <w:ind w:firstLine="632"/>
        <w:spacing w:line="600" w:lineRule="exact"/>
        <w:rPr>
          <w:rFonts w:ascii="仿宋_GB2312" w:hAnsi="仿宋_GB2312" w:eastAsia="仿宋_GB2312" w:cs="仿宋" w:hint="eastAsia"/>
          <w:bCs/>
        </w:rPr>
      </w:pPr>
      <w:r>
        <w:rPr>
          <w:rFonts w:ascii="仿宋_GB2312" w:hAnsi="仿宋_GB2312" w:eastAsia="仿宋_GB2312" w:cs="仿宋" w:hint="eastAsia"/>
          <w:bCs/>
        </w:rPr>
        <w:t>5.具有完善的职业技能等级认定工作制度和质量管控措施，认定活动不以营利为目的。</w:t>
      </w:r>
    </w:p>
    <w:p>
      <w:pPr>
        <w:ind w:firstLine="632"/>
        <w:spacing w:line="600" w:lineRule="exact"/>
        <w:rPr>
          <w:rFonts w:ascii="仿宋_GB2312" w:hAnsi="仿宋_GB2312" w:eastAsia="仿宋_GB2312" w:cs="楷体" w:hint="eastAsia"/>
          <w:bCs/>
        </w:rPr>
      </w:pPr>
      <w:r>
        <w:rPr>
          <w:rFonts w:ascii="仿宋_GB2312" w:hAnsi="仿宋_GB2312" w:eastAsia="仿宋_GB2312" w:cs="楷体" w:hint="eastAsia"/>
          <w:bCs/>
        </w:rPr>
        <w:t>（二）符合以下条件的企业，可申请开展合作院校学生职业技能等级认定服务：</w:t>
      </w:r>
    </w:p>
    <w:p>
      <w:pPr>
        <w:ind w:firstLine="632"/>
        <w:spacing w:line="580" w:lineRule="exact"/>
        <w:rPr>
          <w:rFonts w:ascii="仿宋_GB2312" w:hAnsi="仿宋_GB2312" w:eastAsia="仿宋_GB2312" w:cs="仿宋" w:hint="eastAsia"/>
          <w:bCs/>
        </w:rPr>
      </w:pPr>
      <w:r>
        <w:rPr>
          <w:rFonts w:ascii="仿宋_GB2312" w:hAnsi="仿宋_GB2312" w:eastAsia="仿宋_GB2312" w:cs="仿宋" w:hint="eastAsia"/>
          <w:bCs/>
        </w:rPr>
        <w:t>1.经人力资源社会保障部门备案已开展技能人才自主评价的企业；</w:t>
      </w:r>
    </w:p>
    <w:p>
      <w:pPr>
        <w:ind w:firstLine="632"/>
        <w:spacing w:line="580" w:lineRule="exact"/>
        <w:rPr>
          <w:rFonts w:ascii="仿宋_GB2312" w:hAnsi="仿宋_GB2312" w:eastAsia="仿宋_GB2312" w:cs="仿宋" w:hint="eastAsia"/>
          <w:bCs/>
        </w:rPr>
      </w:pPr>
      <w:r>
        <w:rPr>
          <w:rFonts w:ascii="仿宋_GB2312" w:hAnsi="仿宋_GB2312" w:eastAsia="仿宋_GB2312" w:cs="仿宋" w:hint="eastAsia"/>
          <w:bCs/>
        </w:rPr>
        <w:t>2.参与院校人才培养，与院校有企校合作协议，已完成合作培养专业（工种）培养计划；</w:t>
      </w:r>
    </w:p>
    <w:p>
      <w:pPr>
        <w:ind w:firstLine="632"/>
        <w:spacing w:line="580" w:lineRule="exact"/>
        <w:rPr>
          <w:rFonts w:ascii="仿宋_GB2312" w:hAnsi="仿宋_GB2312" w:eastAsia="仿宋_GB2312" w:cs="仿宋" w:hint="eastAsia"/>
          <w:bCs/>
        </w:rPr>
      </w:pPr>
      <w:r>
        <w:rPr>
          <w:rFonts w:ascii="仿宋_GB2312" w:hAnsi="仿宋_GB2312" w:eastAsia="仿宋_GB2312" w:cs="仿宋" w:hint="eastAsia"/>
          <w:bCs/>
        </w:rPr>
        <w:t>3.开展认定的职业（工种）已备案，且与学校专业直接相关，在本专业领域具有一定影响力。</w:t>
      </w:r>
    </w:p>
    <w:p>
      <w:pPr>
        <w:ind w:firstLine="632"/>
        <w:spacing w:line="580" w:lineRule="exact"/>
        <w:rPr>
          <w:rFonts w:ascii="仿宋_GB2312" w:hAnsi="仿宋_GB2312" w:eastAsia="仿宋_GB2312" w:cs="楷体" w:hint="eastAsia"/>
          <w:bCs/>
        </w:rPr>
      </w:pPr>
      <w:r>
        <w:rPr>
          <w:rFonts w:ascii="仿宋_GB2312" w:hAnsi="仿宋_GB2312" w:eastAsia="仿宋_GB2312" w:cs="楷体" w:hint="eastAsia"/>
          <w:bCs/>
        </w:rPr>
        <w:t>（三）符合以下条件的第三方机构，可申请开展院校学生职业技能等级认定服务：</w:t>
      </w:r>
    </w:p>
    <w:p>
      <w:pPr>
        <w:ind w:firstLine="632"/>
        <w:spacing w:line="580" w:lineRule="exact"/>
        <w:rPr>
          <w:rFonts w:ascii="仿宋_GB2312" w:hAnsi="仿宋_GB2312" w:eastAsia="仿宋_GB2312" w:cs="仿宋" w:hint="eastAsia"/>
          <w:bCs/>
        </w:rPr>
      </w:pPr>
      <w:r>
        <w:rPr>
          <w:rFonts w:ascii="仿宋_GB2312" w:hAnsi="仿宋_GB2312" w:eastAsia="仿宋_GB2312" w:cs="仿宋" w:hint="eastAsia"/>
          <w:bCs/>
        </w:rPr>
        <w:t>1.经人力资源社会保障部门遴选可开展职业技能等级认定的社会培训评价组织；</w:t>
      </w:r>
    </w:p>
    <w:p>
      <w:pPr>
        <w:ind w:firstLine="632"/>
        <w:spacing w:line="580" w:lineRule="exact"/>
        <w:rPr>
          <w:rFonts w:ascii="仿宋_GB2312" w:hAnsi="仿宋_GB2312" w:eastAsia="仿宋_GB2312" w:cs="仿宋" w:hint="eastAsia"/>
          <w:bCs/>
        </w:rPr>
      </w:pPr>
      <w:r>
        <w:rPr>
          <w:rFonts w:ascii="仿宋_GB2312" w:hAnsi="仿宋_GB2312" w:eastAsia="仿宋_GB2312" w:cs="仿宋" w:hint="eastAsia"/>
          <w:bCs/>
        </w:rPr>
        <w:t>2.受院校委托，并经省或市职业技能鉴定（指导）中心同意；</w:t>
      </w:r>
    </w:p>
    <w:p>
      <w:pPr>
        <w:ind w:firstLine="632"/>
        <w:spacing w:line="580" w:lineRule="exact"/>
        <w:rPr>
          <w:rFonts w:ascii="仿宋_GB2312" w:hAnsi="仿宋_GB2312" w:eastAsia="仿宋_GB2312" w:cs="仿宋" w:hint="eastAsia"/>
          <w:bCs/>
        </w:rPr>
      </w:pPr>
      <w:r>
        <w:rPr>
          <w:rFonts w:ascii="仿宋_GB2312" w:hAnsi="仿宋_GB2312" w:eastAsia="仿宋_GB2312" w:cs="仿宋" w:hint="eastAsia"/>
          <w:bCs/>
        </w:rPr>
        <w:t>3.开展认定的职业（工种）应与学校设置专业直接相关，在本专业领域具有一定影响力。</w:t>
      </w:r>
    </w:p>
    <w:p>
      <w:pPr>
        <w:ind w:firstLine="632"/>
        <w:spacing w:line="580" w:lineRule="exact"/>
        <w:rPr>
          <w:rFonts w:ascii="仿宋_GB2312" w:hAnsi="仿宋_GB2312" w:eastAsia="仿宋_GB2312" w:cs="仿宋" w:hint="eastAsia"/>
          <w:bCs/>
        </w:rPr>
      </w:pPr>
      <w:r>
        <w:rPr>
          <w:rFonts w:ascii="仿宋_GB2312" w:hAnsi="仿宋_GB2312" w:eastAsia="仿宋_GB2312" w:cs="仿宋" w:hint="eastAsia"/>
          <w:bCs/>
        </w:rPr>
        <w:t>各认定主体须接受人力资源社会保障部门监督，不得超范围开展职业技能等级认定。职业技能等级认定企业和社会培训评价组织不得授权或委托其他机构对院校学生开展职业技能等级认定服务。</w:t>
      </w:r>
    </w:p>
    <w:p>
      <w:pPr>
        <w:pStyle w:val=""/>
        <w:numPr>
          <w:ilvl w:val="0"/>
          <w:numId w:val="7"/>
        </w:numPr>
        <w:ind w:left="1360" w:hanging="720"/>
        <w:spacing w:line="580" w:lineRule="exact"/>
        <w:rPr>
          <w:rFonts w:ascii="黑体" w:hAnsi="黑体" w:eastAsia="黑体" w:cs="黑体" w:hint="eastAsia"/>
          <w:bCs/>
          <w:kern w:val="0"/>
          <w:sz w:val="32"/>
          <w:szCs w:val="32"/>
        </w:rPr>
      </w:pPr>
      <w:r>
        <w:rPr>
          <w:rFonts w:ascii="黑体" w:hAnsi="黑体" w:eastAsia="黑体" w:cs="黑体" w:hint="eastAsia"/>
          <w:bCs/>
          <w:kern w:val="0"/>
          <w:sz w:val="32"/>
          <w:szCs w:val="32"/>
        </w:rPr>
        <w:t>职业技能等级认定范围</w:t>
      </w:r>
    </w:p>
    <w:p>
      <w:pPr>
        <w:pStyle w:val=""/>
        <w:ind w:firstLine="632"/>
        <w:spacing w:line="580" w:lineRule="exact"/>
        <w:rPr>
          <w:rFonts w:ascii="仿宋_GB2312" w:hAnsi="仿宋_GB2312" w:eastAsia="仿宋_GB2312" w:cs="楷体" w:hint="eastAsia"/>
          <w:bCs/>
          <w:kern w:val="0"/>
          <w:sz w:val="32"/>
          <w:szCs w:val="32"/>
        </w:rPr>
      </w:pPr>
      <w:r>
        <w:rPr>
          <w:rFonts w:ascii="楷体_GB2312" w:hAnsi="楷体_GB2312" w:eastAsia="楷体_GB2312" w:cs="楷体" w:hint="eastAsia"/>
          <w:bCs/>
          <w:kern w:val="0"/>
          <w:sz w:val="32"/>
          <w:szCs w:val="32"/>
        </w:rPr>
        <w:t>（一）认定职业（工种）。</w:t>
      </w:r>
      <w:r>
        <w:rPr>
          <w:rFonts w:ascii="仿宋_GB2312" w:hAnsi="仿宋_GB2312" w:eastAsia="仿宋_GB2312" w:cs="仿宋" w:hint="eastAsia"/>
          <w:bCs/>
          <w:kern w:val="0"/>
          <w:sz w:val="32"/>
          <w:szCs w:val="32"/>
        </w:rPr>
        <w:t>开展认定的职业（工种）应为现行的《中华人民共和国职业分类大典》中技能类职业（工种）和后续经人力资源社会保障部发布或备案的技能类职业（工种），并与现行《全国技工院校专业目录》相对应。准入类职业资格不纳入职业技能等级认定范围。</w:t>
      </w:r>
      <w:r>
        <w:rPr>
          <w:rFonts w:ascii="仿宋_GB2312" w:hAnsi="仿宋_GB2312" w:eastAsia="仿宋_GB2312" w:cs="楷体" w:hint="eastAsia"/>
          <w:bCs/>
          <w:kern w:val="0"/>
          <w:sz w:val="32"/>
          <w:szCs w:val="32"/>
        </w:rPr>
      </w:r>
    </w:p>
    <w:p>
      <w:pPr>
        <w:pStyle w:val=""/>
        <w:ind w:firstLine="632"/>
        <w:spacing w:line="580" w:lineRule="exact"/>
        <w:rPr>
          <w:rFonts w:ascii="仿宋_GB2312" w:hAnsi="仿宋_GB2312" w:eastAsia="仿宋_GB2312" w:cs="楷体" w:hint="eastAsia"/>
          <w:bCs/>
          <w:kern w:val="0"/>
          <w:sz w:val="32"/>
          <w:szCs w:val="32"/>
        </w:rPr>
      </w:pPr>
      <w:r>
        <w:rPr>
          <w:rFonts w:ascii="楷体_GB2312" w:hAnsi="楷体_GB2312" w:eastAsia="楷体_GB2312" w:cs="楷体" w:hint="eastAsia"/>
          <w:sz w:val="32"/>
          <w:szCs w:val="32"/>
        </w:rPr>
        <w:t>（二）认定</w:t>
      </w:r>
      <w:r>
        <w:rPr>
          <w:rFonts w:ascii="楷体_GB2312" w:hAnsi="楷体_GB2312" w:eastAsia="楷体_GB2312" w:cs="楷体" w:hint="eastAsia"/>
          <w:bCs/>
          <w:kern w:val="0"/>
          <w:sz w:val="32"/>
          <w:szCs w:val="32"/>
        </w:rPr>
        <w:t>标准。</w:t>
      </w:r>
      <w:r>
        <w:rPr>
          <w:rFonts w:ascii="仿宋_GB2312" w:hAnsi="仿宋_GB2312" w:eastAsia="仿宋_GB2312" w:cs="仿宋" w:hint="eastAsia"/>
          <w:bCs/>
          <w:kern w:val="0"/>
          <w:sz w:val="32"/>
          <w:szCs w:val="32"/>
        </w:rPr>
        <w:t>开展认定的职业（工种），已颁布国家职业技能标准的，应按照国家职业技能标准执行；尚未颁布国家职业技能标准的，可依据《国家职业技能标准编制技术规程（2018年版）》开发评价规范，按程序报经人力资源社会保障部备案后开展认定。</w:t>
      </w:r>
      <w:r>
        <w:rPr>
          <w:rFonts w:ascii="仿宋_GB2312" w:hAnsi="仿宋_GB2312" w:eastAsia="仿宋_GB2312" w:cs="楷体" w:hint="eastAsia"/>
          <w:bCs/>
          <w:kern w:val="0"/>
          <w:sz w:val="32"/>
          <w:szCs w:val="32"/>
        </w:rPr>
      </w:r>
    </w:p>
    <w:p>
      <w:pPr>
        <w:ind w:firstLine="632"/>
        <w:spacing w:line="580" w:lineRule="exact"/>
        <w:rPr>
          <w:rFonts w:ascii="仿宋_GB2312" w:hAnsi="仿宋_GB2312" w:eastAsia="仿宋_GB2312" w:cs="仿宋" w:hint="eastAsia"/>
          <w:bCs/>
        </w:rPr>
      </w:pPr>
      <w:r>
        <w:rPr>
          <w:rFonts w:ascii="楷体_GB2312" w:hAnsi="楷体_GB2312" w:eastAsia="楷体_GB2312" w:cs="楷体" w:hint="eastAsia"/>
          <w:bCs/>
        </w:rPr>
        <w:t>（三）认定等级。</w:t>
      </w:r>
      <w:r>
        <w:rPr>
          <w:rFonts w:ascii="仿宋_GB2312" w:hAnsi="仿宋_GB2312" w:eastAsia="仿宋_GB2312" w:cs="仿宋" w:hint="eastAsia"/>
          <w:bCs/>
        </w:rPr>
        <w:t>按照主管部门批准的专业培养层次，开展相应等级的认定。技工院校开设预备技师班、高级班的专业可开展职业技能三级/高级工及以下级别的认定。</w:t>
      </w:r>
    </w:p>
    <w:p>
      <w:pPr>
        <w:ind w:firstLine="632"/>
        <w:spacing w:line="580" w:lineRule="exact"/>
        <w:rPr>
          <w:rFonts w:ascii="仿宋_GB2312" w:hAnsi="仿宋_GB2312" w:eastAsia="仿宋_GB2312" w:cs="仿宋" w:hint="eastAsia"/>
          <w:bCs/>
        </w:rPr>
      </w:pPr>
      <w:r>
        <w:rPr>
          <w:rFonts w:ascii="楷体_GB2312" w:hAnsi="楷体_GB2312" w:eastAsia="楷体_GB2312" w:cs="楷体" w:hint="eastAsia"/>
          <w:bCs/>
        </w:rPr>
        <w:t>（四）认定方式。</w:t>
      </w:r>
      <w:r>
        <w:rPr>
          <w:rFonts w:ascii="仿宋_GB2312" w:hAnsi="仿宋_GB2312" w:eastAsia="仿宋_GB2312" w:cs="仿宋" w:hint="eastAsia"/>
          <w:bCs/>
        </w:rPr>
        <w:t>认定评价要与教学计划相结合，可采取结果考核、过程考核或参加职业技能竞赛等考核认定方式。结果考核可使用国家题库试题或按照职业技能标准、评价规范命制试题。倡导基于一体化课程的过程考核方式，过程化考核方案须由给予注册的职业技能鉴定（指导）中心评估后实施。鼓励院校建立线上考核平台，提高信息化水平和过程监管能力。</w:t>
      </w:r>
    </w:p>
    <w:p>
      <w:pPr>
        <w:ind w:firstLine="632"/>
        <w:spacing w:line="580" w:lineRule="exact"/>
        <w:rPr>
          <w:rFonts w:ascii="仿宋_GB2312" w:hAnsi="仿宋_GB2312" w:eastAsia="仿宋_GB2312" w:cs="仿宋" w:hint="eastAsia"/>
          <w:bCs/>
        </w:rPr>
      </w:pPr>
      <w:r>
        <w:rPr>
          <w:rFonts w:ascii="楷体_GB2312" w:hAnsi="楷体_GB2312" w:eastAsia="楷体_GB2312" w:cs="楷体" w:hint="eastAsia"/>
          <w:kern w:val="1"/>
        </w:rPr>
        <w:t>（五）认定对象。</w:t>
      </w:r>
      <w:r>
        <w:rPr>
          <w:rFonts w:ascii="仿宋_GB2312" w:hAnsi="仿宋_GB2312" w:eastAsia="仿宋_GB2312" w:cs="仿宋" w:hint="eastAsia"/>
          <w:bCs/>
        </w:rPr>
        <w:t>注册本校技工教育学籍的在校学生。</w:t>
      </w:r>
    </w:p>
    <w:p>
      <w:pPr>
        <w:ind w:firstLine="632"/>
        <w:spacing w:line="580" w:lineRule="exact"/>
        <w:rPr>
          <w:rFonts w:ascii="黑体" w:hAnsi="黑体" w:eastAsia="黑体" w:cs="黑体" w:hint="eastAsia"/>
          <w:bCs/>
        </w:rPr>
      </w:pPr>
      <w:r>
        <w:rPr>
          <w:rFonts w:ascii="黑体" w:hAnsi="黑体" w:eastAsia="黑体" w:cs="黑体" w:hint="eastAsia"/>
          <w:bCs/>
        </w:rPr>
        <w:t>四、职业技能等级认定机构申请流程</w:t>
      </w:r>
    </w:p>
    <w:p>
      <w:pPr>
        <w:ind w:firstLine="632"/>
        <w:spacing w:line="580" w:lineRule="exact"/>
        <w:rPr>
          <w:rFonts w:ascii="仿宋_GB2312" w:hAnsi="仿宋_GB2312" w:eastAsia="仿宋_GB2312" w:cs="仿宋" w:hint="eastAsia"/>
          <w:bCs/>
        </w:rPr>
      </w:pPr>
      <w:r>
        <w:rPr>
          <w:rFonts w:ascii="仿宋_GB2312" w:hAnsi="仿宋_GB2312" w:eastAsia="仿宋_GB2312" w:cs="仿宋" w:hint="eastAsia"/>
          <w:bCs/>
        </w:rPr>
        <w:t>院校登录山东省职业技能鉴定指导中心网站（http://www.sdosta.org.cn），通过山东省职业技能等级评价信息管理系统进行申请。省属技工院校向省职业技能鉴定指导中心申请。市属及以下技工院校向设区的市职业技能鉴定（指导）中心申请。</w:t>
      </w:r>
    </w:p>
    <w:p>
      <w:pPr>
        <w:ind w:firstLine="660"/>
        <w:spacing w:line="600" w:lineRule="exact"/>
        <w:rPr>
          <w:rFonts w:ascii="楷体_GB2312" w:hAnsi="楷体_GB2312" w:eastAsia="楷体_GB2312" w:cs="楷体" w:hint="eastAsia"/>
          <w:bCs/>
        </w:rPr>
      </w:pPr>
      <w:r>
        <w:rPr>
          <w:rFonts w:ascii="楷体_GB2312" w:hAnsi="楷体_GB2312" w:eastAsia="楷体_GB2312" w:cs="楷体" w:hint="eastAsia"/>
          <w:bCs/>
        </w:rPr>
        <w:t>（一）申请材料。</w:t>
      </w:r>
    </w:p>
    <w:p>
      <w:pPr>
        <w:ind w:firstLine="632"/>
        <w:spacing w:line="600" w:lineRule="exact"/>
        <w:rPr>
          <w:rFonts w:ascii="仿宋_GB2312" w:hAnsi="仿宋_GB2312" w:eastAsia="仿宋_GB2312" w:cs="仿宋" w:hint="eastAsia"/>
          <w:bCs/>
        </w:rPr>
      </w:pPr>
      <w:r>
        <w:rPr>
          <w:rFonts w:ascii="仿宋_GB2312" w:hAnsi="仿宋_GB2312" w:eastAsia="仿宋_GB2312" w:cs="仿宋" w:hint="eastAsia"/>
          <w:bCs/>
        </w:rPr>
        <w:t>1.《技工院校开展职业技能等级认定申请表》（附件1）；</w:t>
      </w:r>
    </w:p>
    <w:p>
      <w:pPr>
        <w:ind w:firstLine="632"/>
        <w:spacing w:line="600" w:lineRule="exact"/>
        <w:rPr>
          <w:rFonts w:ascii="仿宋_GB2312" w:hAnsi="仿宋_GB2312" w:eastAsia="仿宋_GB2312" w:cs="仿宋" w:hint="eastAsia"/>
          <w:bCs/>
        </w:rPr>
      </w:pPr>
      <w:r>
        <w:rPr>
          <w:rFonts w:ascii="仿宋_GB2312" w:hAnsi="仿宋_GB2312" w:eastAsia="仿宋_GB2312" w:cs="仿宋" w:hint="eastAsia"/>
          <w:bCs/>
        </w:rPr>
        <w:t>2.《技工院校职业技能等级认定工作方案》（附件2）；</w:t>
      </w:r>
    </w:p>
    <w:p>
      <w:pPr>
        <w:ind w:firstLine="632"/>
        <w:spacing w:line="600" w:lineRule="exact"/>
        <w:rPr>
          <w:rFonts w:ascii="仿宋_GB2312" w:hAnsi="仿宋_GB2312" w:eastAsia="仿宋_GB2312" w:cs="仿宋" w:hint="eastAsia"/>
          <w:bCs/>
        </w:rPr>
      </w:pPr>
      <w:r>
        <w:rPr>
          <w:rFonts w:ascii="仿宋_GB2312" w:hAnsi="仿宋_GB2312" w:eastAsia="仿宋_GB2312" w:cs="仿宋" w:hint="eastAsia"/>
          <w:bCs/>
        </w:rPr>
        <w:t>3.职业技能等级认定职业（工种）和标准目录清单（附件3）；</w:t>
      </w:r>
    </w:p>
    <w:p>
      <w:pPr>
        <w:ind w:firstLine="632"/>
        <w:spacing w:line="600" w:lineRule="exact"/>
        <w:rPr>
          <w:rFonts w:ascii="仿宋_GB2312" w:hAnsi="仿宋_GB2312" w:eastAsia="仿宋_GB2312" w:cs="仿宋" w:hint="eastAsia"/>
          <w:bCs/>
        </w:rPr>
      </w:pPr>
      <w:r>
        <w:rPr>
          <w:rFonts w:ascii="仿宋_GB2312" w:hAnsi="仿宋_GB2312" w:eastAsia="仿宋_GB2312" w:cs="仿宋" w:hint="eastAsia"/>
          <w:bCs/>
        </w:rPr>
        <w:t>4.开展评价职业（工种）的考核场地、设施设备及考评人员清单；</w:t>
      </w:r>
    </w:p>
    <w:p>
      <w:pPr>
        <w:ind w:firstLine="632"/>
        <w:spacing w:line="600" w:lineRule="exact"/>
        <w:rPr>
          <w:rFonts w:ascii="仿宋_GB2312" w:hAnsi="仿宋_GB2312" w:eastAsia="仿宋_GB2312" w:cs="仿宋" w:hint="eastAsia"/>
          <w:bCs/>
        </w:rPr>
      </w:pPr>
      <w:r>
        <w:rPr>
          <w:rFonts w:ascii="仿宋_GB2312" w:hAnsi="仿宋_GB2312" w:eastAsia="仿宋_GB2312" w:cs="仿宋" w:hint="eastAsia"/>
          <w:bCs/>
        </w:rPr>
        <w:t>5.经主管部门批准开设并已招生的专业情况汇总表。</w:t>
      </w:r>
    </w:p>
    <w:p>
      <w:pPr>
        <w:ind w:firstLine="632"/>
        <w:spacing w:line="600" w:lineRule="exact"/>
        <w:rPr>
          <w:rFonts w:ascii="??_GB2312" w:hAnsi="??_GB2312" w:eastAsia="Times New Roman" w:hint="eastAsia"/>
          <w:kern w:val="1"/>
        </w:rPr>
      </w:pPr>
      <w:r>
        <w:rPr>
          <w:rFonts w:ascii="楷体_GB2312" w:hAnsi="楷体_GB2312" w:eastAsia="楷体_GB2312" w:cs="楷体" w:hint="eastAsia"/>
          <w:bCs/>
        </w:rPr>
        <w:t>（二）评估论证。</w:t>
      </w:r>
      <w:r>
        <w:rPr>
          <w:rFonts w:ascii="仿宋_GB2312" w:hAnsi="仿宋_GB2312" w:eastAsia="仿宋_GB2312" w:cs="仿宋" w:hint="eastAsia"/>
          <w:bCs/>
        </w:rPr>
        <w:t>受理申请的职业技能鉴定（指导）中心成立评估专家组，采取资料核验、专家论证、现场考察等方式对院校进行评估论证。符合条件的</w:t>
      </w:r>
      <w:r>
        <w:rPr>
          <w:rFonts w:ascii="仿宋_GB2312" w:hAnsi="仿宋_GB2312" w:eastAsia="仿宋_GB2312" w:hint="eastAsia"/>
          <w:bCs/>
        </w:rPr>
        <w:t>，由职业技能鉴定（指导）中心</w:t>
      </w:r>
      <w:r>
        <w:rPr>
          <w:rFonts w:ascii="仿宋_GB2312" w:hAnsi="仿宋_GB2312" w:eastAsia="仿宋_GB2312" w:hint="eastAsia"/>
          <w:kern w:val="1"/>
        </w:rPr>
        <w:t>向院校赋予机构代码，并出具回执。省人力资源社会保障厅统一公布开展职业技能等级认定的技工院校目录。</w:t>
      </w:r>
      <w:r>
        <w:rPr>
          <w:rFonts w:ascii="??_GB2312" w:hAnsi="??_GB2312" w:eastAsia="Times New Roman" w:hint="eastAsia"/>
          <w:kern w:val="1"/>
        </w:rPr>
      </w:r>
    </w:p>
    <w:p>
      <w:pPr>
        <w:ind w:firstLine="660"/>
        <w:spacing w:line="600" w:lineRule="exact"/>
        <w:rPr>
          <w:rFonts w:eastAsia="黑体"/>
          <w:bCs/>
        </w:rPr>
      </w:pPr>
      <w:r>
        <w:rPr>
          <w:rFonts w:ascii="黑体" w:hAnsi="黑体" w:eastAsia="黑体" w:cs="黑体" w:hint="eastAsia"/>
          <w:bCs/>
        </w:rPr>
        <w:t>五</w:t>
      </w:r>
      <w:r>
        <w:rPr>
          <w:rFonts w:eastAsia="黑体" w:hint="eastAsia"/>
          <w:bCs/>
        </w:rPr>
        <w:t>、职业技能等级认定组织实施</w:t>
      </w:r>
      <w:r>
        <w:rPr>
          <w:rFonts w:eastAsia="黑体"/>
          <w:bCs/>
        </w:rPr>
      </w:r>
    </w:p>
    <w:p>
      <w:pPr>
        <w:ind w:firstLine="632"/>
        <w:spacing w:line="600" w:lineRule="exact"/>
        <w:rPr>
          <w:rFonts w:ascii="仿宋_GB2312" w:hAnsi="仿宋_GB2312" w:eastAsia="仿宋_GB2312" w:cs="仿宋"/>
          <w:bCs/>
        </w:rPr>
      </w:pPr>
      <w:r>
        <w:rPr>
          <w:rFonts w:ascii="楷体_GB2312" w:hAnsi="楷体_GB2312" w:eastAsia="楷体_GB2312" w:cs="楷体" w:hint="eastAsia"/>
          <w:bCs/>
        </w:rPr>
        <w:t>（一）制定计划。</w:t>
      </w:r>
      <w:r>
        <w:rPr>
          <w:rFonts w:ascii="仿宋_GB2312" w:hAnsi="仿宋_GB2312" w:eastAsia="仿宋_GB2312" w:cs="仿宋" w:hint="eastAsia"/>
          <w:bCs/>
        </w:rPr>
        <w:t>院校应在实施职业技能等级认定工作前，制定当次的认定计划，并提前5个工作日通过山东省职业技能等级评价信息管理系统报送省或设区的市职业技能鉴定（指导）中心。计划内容主要包括：认定人员信息、认定时间地点、认定内容方式、考场安排及监考人员、考评人员、内部质量督导员安排情况等。</w:t>
      </w:r>
      <w:r>
        <w:rPr>
          <w:rFonts w:ascii="仿宋_GB2312" w:hAnsi="仿宋_GB2312" w:eastAsia="仿宋_GB2312" w:cs="仿宋"/>
          <w:bCs/>
        </w:rPr>
      </w:r>
    </w:p>
    <w:p>
      <w:pPr>
        <w:ind w:firstLine="632"/>
        <w:spacing w:line="600" w:lineRule="exact"/>
        <w:rPr>
          <w:rFonts w:ascii="仿宋_GB2312" w:hAnsi="仿宋_GB2312" w:eastAsia="仿宋_GB2312" w:cs="仿宋" w:hint="eastAsia"/>
          <w:bCs/>
        </w:rPr>
      </w:pPr>
      <w:r>
        <w:rPr>
          <w:rFonts w:ascii="楷体_GB2312" w:hAnsi="楷体_GB2312" w:eastAsia="楷体_GB2312" w:cs="楷体" w:hint="eastAsia"/>
          <w:bCs/>
        </w:rPr>
        <w:t>（二）考务组织。</w:t>
      </w:r>
      <w:r>
        <w:rPr>
          <w:rFonts w:ascii="仿宋_GB2312" w:hAnsi="仿宋_GB2312" w:eastAsia="仿宋_GB2312" w:cs="仿宋" w:hint="eastAsia"/>
          <w:bCs/>
        </w:rPr>
        <w:t>院校要按照认定</w:t>
      </w:r>
      <w:r>
        <w:rPr>
          <w:rFonts w:ascii="仿宋_GB2312" w:hAnsi="仿宋_GB2312" w:eastAsia="仿宋_GB2312" w:cs="仿宋" w:hint="eastAsia"/>
          <w:kern w:val="1"/>
        </w:rPr>
        <w:t>计划开展工作，规范评价流程。</w:t>
      </w:r>
      <w:r>
        <w:rPr>
          <w:rFonts w:ascii="仿宋_GB2312" w:hAnsi="仿宋_GB2312" w:eastAsia="仿宋_GB2312" w:cs="仿宋" w:hint="eastAsia"/>
          <w:bCs/>
        </w:rPr>
        <w:t>要加强考风考纪监督，完善认定过程的电子监控设施，做到全程留痕。评价全过程接受职业技能鉴定（指导）中心的质量督导。</w:t>
      </w:r>
    </w:p>
    <w:p>
      <w:pPr>
        <w:ind w:firstLine="632"/>
        <w:spacing w:line="600" w:lineRule="exact"/>
        <w:rPr>
          <w:rFonts w:ascii="仿宋_GB2312" w:hAnsi="仿宋_GB2312" w:eastAsia="仿宋_GB2312" w:hint="eastAsia"/>
          <w:kern w:val="1"/>
        </w:rPr>
      </w:pPr>
      <w:r>
        <w:rPr>
          <w:rFonts w:ascii="楷体_GB2312" w:hAnsi="楷体_GB2312" w:eastAsia="楷体_GB2312" w:cs="楷体" w:hint="eastAsia"/>
          <w:kern w:val="1"/>
        </w:rPr>
        <w:t>（三）结果公示。</w:t>
      </w:r>
      <w:r>
        <w:rPr>
          <w:rFonts w:ascii="仿宋_GB2312" w:hAnsi="仿宋_GB2312" w:eastAsia="仿宋_GB2312" w:hint="eastAsia"/>
          <w:kern w:val="1"/>
        </w:rPr>
        <w:t>院校对认定结果公示不少于5个工作日。公示无异议的，将结果信息上传到山东省职业技能等级评价信息管理系统，由职业技能鉴定（指导）中心进行审核。</w:t>
      </w:r>
    </w:p>
    <w:p>
      <w:pPr>
        <w:ind w:firstLine="632"/>
        <w:spacing w:line="600" w:lineRule="exact"/>
        <w:rPr>
          <w:rFonts w:ascii="??_GB2312" w:hAnsi="??_GB2312" w:eastAsia="Times New Roman" w:hint="eastAsia"/>
          <w:kern w:val="1"/>
        </w:rPr>
      </w:pPr>
      <w:r>
        <w:rPr>
          <w:rFonts w:ascii="楷体_GB2312" w:hAnsi="楷体_GB2312" w:eastAsia="楷体_GB2312" w:cs="华文楷体" w:hint="eastAsia"/>
          <w:bCs/>
          <w:kern w:val="1"/>
        </w:rPr>
        <w:t>（四）</w:t>
      </w:r>
      <w:r>
        <w:rPr>
          <w:rFonts w:ascii="楷体_GB2312" w:hAnsi="楷体_GB2312" w:eastAsia="楷体_GB2312" w:cs="楷体" w:hint="eastAsia"/>
          <w:kern w:val="1"/>
        </w:rPr>
        <w:t>颁发证书</w:t>
      </w:r>
      <w:r>
        <w:rPr>
          <w:rFonts w:ascii="仿宋_GB2312" w:hAnsi="仿宋_GB2312" w:eastAsia="仿宋_GB2312" w:cs="华文楷体" w:hint="eastAsia"/>
          <w:bCs/>
          <w:kern w:val="1"/>
        </w:rPr>
        <w:t>。</w:t>
      </w:r>
      <w:r>
        <w:rPr>
          <w:rFonts w:ascii="仿宋_GB2312" w:hAnsi="仿宋_GB2312" w:eastAsia="仿宋_GB2312" w:hint="eastAsia"/>
          <w:kern w:val="1"/>
        </w:rPr>
        <w:t>院校按照省人力资源社会保障部门统一制定的职业技能等级证书编码规则和证书参考样式，制定并颁发职业技能等级证书或电子证书。颁发的职业技能等级证书信息纳入全省职业技能等级证书信息查询系统，免费提供证书信息查询服务。</w:t>
      </w:r>
      <w:r>
        <w:rPr>
          <w:rFonts w:ascii="??_GB2312" w:hAnsi="??_GB2312" w:eastAsia="Times New Roman" w:hint="eastAsia"/>
          <w:kern w:val="1"/>
        </w:rPr>
      </w:r>
    </w:p>
    <w:p>
      <w:pPr>
        <w:ind w:firstLine="660"/>
        <w:spacing w:line="600" w:lineRule="exact"/>
        <w:rPr>
          <w:rFonts w:eastAsia="黑体"/>
          <w:bCs/>
        </w:rPr>
      </w:pPr>
      <w:r>
        <w:rPr>
          <w:rFonts w:eastAsia="黑体" w:hint="eastAsia"/>
          <w:bCs/>
        </w:rPr>
        <w:t>六、工作要求</w:t>
      </w:r>
      <w:r>
        <w:rPr>
          <w:rFonts w:eastAsia="黑体"/>
          <w:bCs/>
        </w:rPr>
      </w:r>
    </w:p>
    <w:p>
      <w:pPr>
        <w:ind w:firstLine="632"/>
        <w:spacing w:line="600" w:lineRule="exact"/>
        <w:rPr>
          <w:rFonts w:ascii="仿宋_GB2312" w:hAnsi="仿宋_GB2312" w:eastAsia="仿宋_GB2312" w:cs="仿宋"/>
          <w:bCs/>
        </w:rPr>
      </w:pPr>
      <w:r>
        <w:rPr>
          <w:rFonts w:ascii="仿宋_GB2312" w:hAnsi="仿宋_GB2312" w:eastAsia="仿宋_GB2312" w:cs="仿宋" w:hint="eastAsia"/>
          <w:bCs/>
        </w:rPr>
        <w:t>（一）各级人力资源社会保障部门要加强院校学生职业技能等级认定工作领导。职业技能鉴定（指导）中心要做好院校学生职业技能等级认定的指导和服务，综合运用“双随机、一公开”、“互联网+”等方式对职业技能等级认定工作进行质量监管。</w:t>
      </w:r>
      <w:r>
        <w:rPr>
          <w:rFonts w:ascii="仿宋_GB2312" w:hAnsi="仿宋_GB2312" w:eastAsia="仿宋_GB2312" w:cs="仿宋"/>
          <w:bCs/>
        </w:rPr>
      </w:r>
    </w:p>
    <w:p>
      <w:pPr>
        <w:ind w:firstLine="632"/>
        <w:spacing w:line="600" w:lineRule="exact"/>
        <w:rPr>
          <w:rFonts w:ascii="仿宋_GB2312" w:hAnsi="仿宋_GB2312" w:eastAsia="仿宋_GB2312" w:cs="仿宋" w:hint="eastAsia"/>
          <w:bCs/>
        </w:rPr>
      </w:pPr>
      <w:r>
        <w:rPr>
          <w:rFonts w:ascii="仿宋_GB2312" w:hAnsi="仿宋_GB2312" w:eastAsia="仿宋_GB2312" w:cs="仿宋" w:hint="eastAsia"/>
          <w:bCs/>
        </w:rPr>
        <w:t>（二）开展院校学生职业技能等级认定的院校，要按照“谁评价、谁发证、谁负责”的原则承担主体责任，完善管理制度，规范工作流程，加强考务管理，提高评价质量。</w:t>
      </w:r>
    </w:p>
    <w:p>
      <w:pPr>
        <w:ind w:firstLine="632"/>
        <w:spacing w:line="580" w:lineRule="exact"/>
        <w:rPr>
          <w:rFonts w:ascii="仿宋_GB2312" w:hAnsi="仿宋_GB2312" w:eastAsia="仿宋_GB2312" w:cs="仿宋" w:hint="eastAsia"/>
          <w:bCs/>
        </w:rPr>
      </w:pPr>
      <w:r>
        <w:rPr>
          <w:rFonts w:ascii="仿宋_GB2312" w:hAnsi="仿宋_GB2312" w:eastAsia="仿宋_GB2312" w:cs="仿宋" w:hint="eastAsia"/>
          <w:bCs/>
        </w:rPr>
        <w:t>（三）开展院校学生职业技能等级认定的评价机构要严格按照规定制定收费标准接受监督。</w:t>
      </w:r>
    </w:p>
    <w:p>
      <w:pPr>
        <w:ind w:firstLine="632"/>
        <w:spacing w:line="580" w:lineRule="exact"/>
        <w:rPr>
          <w:rFonts w:ascii="仿宋_GB2312" w:hAnsi="仿宋_GB2312" w:eastAsia="仿宋_GB2312" w:cs="仿宋" w:hint="eastAsia"/>
          <w:bCs/>
        </w:rPr>
      </w:pPr>
      <w:r>
        <w:rPr>
          <w:rFonts w:ascii="仿宋_GB2312" w:hAnsi="仿宋_GB2312" w:eastAsia="仿宋_GB2312" w:cs="仿宋" w:hint="eastAsia"/>
          <w:bCs/>
        </w:rPr>
        <w:t>联系人：王伟超，联系电话：0531-86018851。</w:t>
      </w:r>
    </w:p>
    <w:p>
      <w:pPr>
        <w:ind w:firstLine="632"/>
        <w:spacing w:line="580" w:lineRule="exact"/>
        <w:rPr>
          <w:rFonts w:ascii="仿宋_GB2312" w:hAnsi="仿宋_GB2312" w:eastAsia="仿宋_GB2312" w:cs="仿宋" w:hint="eastAsia"/>
          <w:bCs/>
        </w:rPr>
      </w:pPr>
      <w:r>
        <w:rPr>
          <w:rFonts w:ascii="仿宋_GB2312" w:hAnsi="仿宋_GB2312" w:eastAsia="仿宋_GB2312" w:cs="仿宋" w:hint="eastAsia"/>
          <w:bCs/>
        </w:rPr>
      </w:r>
    </w:p>
    <w:p>
      <w:pPr>
        <w:ind w:firstLine="632"/>
        <w:spacing w:line="580" w:lineRule="exact"/>
        <w:rPr>
          <w:rFonts w:ascii="仿宋_GB2312" w:hAnsi="仿宋_GB2312" w:eastAsia="仿宋_GB2312" w:cs="仿宋" w:hint="eastAsia"/>
          <w:bCs/>
        </w:rPr>
      </w:pPr>
      <w:r>
        <w:rPr>
          <w:rFonts w:ascii="仿宋_GB2312" w:hAnsi="仿宋_GB2312" w:eastAsia="仿宋_GB2312" w:cs="仿宋" w:hint="eastAsia"/>
          <w:bCs/>
        </w:rPr>
        <w:t>附件：1.技工院校开展职业技能等级认定申请表</w:t>
      </w:r>
    </w:p>
    <w:p>
      <w:pPr>
        <w:ind w:firstLine="1579"/>
        <w:spacing w:line="580" w:lineRule="exact"/>
        <w:rPr>
          <w:rFonts w:ascii="仿宋_GB2312" w:hAnsi="仿宋_GB2312" w:eastAsia="仿宋_GB2312" w:cs="仿宋" w:hint="eastAsia"/>
          <w:bCs/>
        </w:rPr>
      </w:pPr>
      <w:r>
        <w:rPr>
          <w:rFonts w:ascii="仿宋_GB2312" w:hAnsi="仿宋_GB2312" w:eastAsia="仿宋_GB2312" w:cs="仿宋" w:hint="eastAsia"/>
          <w:bCs/>
        </w:rPr>
        <w:t>2.技工院校职业技能等级认定工作方案（模板）</w:t>
      </w:r>
    </w:p>
    <w:p>
      <w:pPr>
        <w:ind w:firstLine="1579"/>
        <w:spacing w:line="580" w:lineRule="exact"/>
        <w:rPr>
          <w:rFonts w:ascii="仿宋_GB2312" w:hAnsi="仿宋_GB2312" w:eastAsia="仿宋_GB2312" w:cs="仿宋" w:hint="eastAsia"/>
          <w:bCs/>
        </w:rPr>
      </w:pPr>
      <w:r>
        <w:rPr>
          <w:rFonts w:ascii="仿宋_GB2312" w:hAnsi="仿宋_GB2312" w:eastAsia="仿宋_GB2312" w:cs="仿宋" w:hint="eastAsia"/>
          <w:bCs/>
        </w:rPr>
        <w:t>3.职业技能等级认定职业（工种）和标准目录清单</w:t>
      </w:r>
    </w:p>
    <w:p>
      <w:pPr>
        <w:ind w:firstLine="1579"/>
        <w:spacing w:line="560" w:lineRule="exact"/>
        <w:rPr>
          <w:rFonts w:ascii="仿宋_GB2312" w:hAnsi="仿宋_GB2312" w:eastAsia="仿宋_GB2312" w:cs="仿宋" w:hint="eastAsia"/>
          <w:bCs/>
        </w:rPr>
      </w:pPr>
      <w:r>
        <w:rPr>
          <w:rFonts w:ascii="仿宋_GB2312" w:hAnsi="仿宋_GB2312" w:eastAsia="仿宋_GB2312" w:cs="仿宋" w:hint="eastAsia"/>
          <w:bCs/>
        </w:rPr>
      </w:r>
    </w:p>
    <w:p>
      <w:pPr>
        <w:ind w:firstLine="1579"/>
        <w:spacing w:line="560" w:lineRule="exact"/>
        <w:rPr>
          <w:rFonts w:ascii="??_GB2312" w:hAnsi="??_GB2312" w:cs="仿宋" w:hint="eastAsia"/>
          <w:bCs/>
        </w:rPr>
      </w:pPr>
      <w:r>
        <w:rPr>
          <w:rFonts w:ascii="??_GB2312" w:hAnsi="??_GB2312" w:cs="仿宋" w:hint="eastAsia"/>
          <w:bCs/>
        </w:rPr>
      </w:r>
    </w:p>
    <w:p>
      <w:pPr>
        <w:ind w:firstLine="1579"/>
        <w:spacing w:line="560" w:lineRule="exact"/>
        <w:rPr>
          <w:rFonts w:ascii="仿宋_GB2312" w:hAnsi="仿宋_GB2312" w:eastAsia="仿宋_GB2312" w:cs="仿宋" w:hint="eastAsia"/>
          <w:bCs/>
        </w:rPr>
      </w:pPr>
      <w:r>
        <w:rPr>
          <w:rFonts w:ascii="仿宋_GB2312" w:hAnsi="仿宋_GB2312" w:eastAsia="仿宋_GB2312" w:cs="仿宋" w:hint="eastAsia"/>
          <w:bCs/>
        </w:rPr>
        <w:t xml:space="preserve">                山东省人力资源和社会保障厅</w:t>
      </w:r>
    </w:p>
    <w:p>
      <w:pPr>
        <w:ind w:firstLine="1579"/>
        <w:spacing w:line="560" w:lineRule="exact"/>
        <w:rPr>
          <w:rFonts w:ascii="仿宋_GB2312" w:hAnsi="仿宋_GB2312" w:eastAsia="仿宋_GB2312" w:cs="仿宋" w:hint="eastAsia"/>
          <w:bCs/>
        </w:rPr>
      </w:pPr>
      <w:r>
        <w:rPr>
          <w:rFonts w:ascii="仿宋_GB2312" w:hAnsi="仿宋_GB2312" w:eastAsia="仿宋_GB2312" w:cs="仿宋" w:hint="eastAsia"/>
          <w:bCs/>
        </w:rPr>
        <w:t xml:space="preserve">                      2020年5月14日</w:t>
      </w:r>
    </w:p>
    <w:p>
      <w:pPr>
        <w:ind w:firstLine="632"/>
        <w:spacing w:line="560" w:lineRule="exact"/>
        <w:rPr>
          <w:rFonts w:ascii="仿宋_GB2312" w:hAnsi="仿宋_GB2312" w:eastAsia="仿宋_GB2312" w:cs="仿宋" w:hint="eastAsia"/>
          <w:bCs/>
        </w:rPr>
      </w:pPr>
      <w:r>
        <w:rPr>
          <w:rFonts w:ascii="仿宋_GB2312" w:hAnsi="仿宋_GB2312" w:eastAsia="仿宋_GB2312" w:cs="仿宋" w:hint="eastAsia"/>
          <w:bCs/>
        </w:rPr>
        <w:t>（此件主动公开）</w:t>
      </w:r>
      <w:r>
        <w:br w:type="page"/>
      </w:r>
    </w:p>
    <w:p>
      <w:pPr>
        <w:spacing w:line="560" w:lineRule="exact"/>
        <w:jc w:val="left"/>
        <w:rPr>
          <w:rFonts w:ascii="黑体" w:hAnsi="黑体" w:eastAsia="黑体" w:cs="黑体"/>
          <w:kern w:val="1"/>
        </w:rPr>
      </w:pPr>
      <w:r>
        <w:rPr>
          <w:rFonts w:ascii="黑体" w:hAnsi="黑体" w:eastAsia="黑体" w:cs="黑体" w:hint="eastAsia"/>
          <w:kern w:val="1"/>
        </w:rPr>
        <w:t>附件1</w:t>
      </w:r>
      <w:r>
        <w:rPr>
          <w:rFonts w:ascii="黑体" w:hAnsi="黑体" w:eastAsia="黑体" w:cs="黑体"/>
          <w:kern w:val="1"/>
        </w:rPr>
      </w:r>
    </w:p>
    <w:p>
      <w:pPr>
        <w:ind w:firstLine="872"/>
        <w:spacing w:line="560" w:lineRule="exact"/>
        <w:jc w:val="left"/>
        <w:rPr>
          <w:rFonts w:ascii="方正小标宋简体" w:hAnsi="方正小标宋简体" w:eastAsia="方正小标宋简体" w:cs="黑体" w:hint="eastAsia"/>
          <w:kern w:val="1"/>
        </w:rPr>
      </w:pPr>
      <w:r>
        <w:rPr>
          <w:rFonts w:ascii="方正小标宋简体" w:hAnsi="方正小标宋简体" w:eastAsia="方正小标宋简体" w:cs="黑体" w:hint="eastAsia"/>
          <w:kern w:val="1"/>
          <w:sz w:val="44"/>
          <w:szCs w:val="44"/>
        </w:rPr>
        <w:t>技工院校开展职业技能等级认定</w:t>
      </w:r>
      <w:bookmarkStart w:id="0" w:name="_Toc5535_WPSOffice_Level2"/>
      <w:bookmarkEnd w:id="0"/>
      <w:r>
        <w:rPr>
          <w:rFonts w:ascii="方正小标宋简体" w:hAnsi="方正小标宋简体" w:eastAsia="方正小标宋简体" w:cs="黑体" w:hint="eastAsia"/>
          <w:kern w:val="1"/>
          <w:sz w:val="44"/>
          <w:szCs w:val="44"/>
        </w:rPr>
      </w:r>
      <w:bookmarkStart w:id="1" w:name="_Toc28544_WPSOffice_Level2"/>
      <w:bookmarkEnd w:id="1"/>
      <w:r>
        <w:rPr>
          <w:rFonts w:ascii="方正小标宋简体" w:hAnsi="方正小标宋简体" w:eastAsia="方正小标宋简体" w:cs="黑体" w:hint="eastAsia"/>
          <w:kern w:val="1"/>
          <w:sz w:val="44"/>
          <w:szCs w:val="44"/>
        </w:rPr>
      </w:r>
      <w:bookmarkStart w:id="2" w:name="_Toc4835"/>
      <w:bookmarkEnd w:id="2"/>
      <w:r>
        <w:rPr>
          <w:rFonts w:ascii="方正小标宋简体" w:hAnsi="方正小标宋简体" w:eastAsia="方正小标宋简体" w:cs="黑体" w:hint="eastAsia"/>
          <w:kern w:val="1"/>
          <w:sz w:val="44"/>
          <w:szCs w:val="44"/>
        </w:rPr>
        <w:t>申请表</w:t>
      </w:r>
      <w:r>
        <w:rPr>
          <w:rFonts w:ascii="方正小标宋简体" w:hAnsi="方正小标宋简体" w:eastAsia="方正小标宋简体" w:cs="黑体" w:hint="eastAsia"/>
          <w:kern w:val="1"/>
        </w:rPr>
      </w:r>
    </w:p>
    <w:tbl>
      <w:tblPr>
        <w:jc w:val="center"/>
        <w:tblW w:w="8995" w:type="dxa"/>
      </w:tblPr>
      <w:tblGrid>
        <w:gridCol w:w="1770"/>
        <w:gridCol w:w="1073"/>
        <w:gridCol w:w="1501"/>
        <w:gridCol w:w="1261"/>
        <w:gridCol w:w="1275"/>
        <w:gridCol w:w="2115"/>
      </w:tblGrid>
      <w:tr>
        <w:trPr>
          <w:trHeight w:val="547" w:hRule="atLeast"/>
        </w:trPr>
        <w:tc>
          <w:tcPr>
            <w:tcW w:w="8995" w:type="dxa"/>
            <w:gridSpan w:val="6"/>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rPr>
                <w:rFonts w:eastAsia="黑体"/>
                <w:kern w:val="1"/>
                <w:sz w:val="28"/>
                <w:szCs w:val="28"/>
              </w:rPr>
            </w:pPr>
            <w:r>
              <w:rPr>
                <w:rFonts w:eastAsia="黑体" w:cs="黑体" w:hint="eastAsia"/>
                <w:kern w:val="1"/>
                <w:sz w:val="28"/>
                <w:szCs w:val="28"/>
              </w:rPr>
              <w:t>一、基本信息</w:t>
            </w:r>
            <w:r>
              <w:rPr>
                <w:rFonts w:eastAsia="黑体"/>
                <w:kern w:val="1"/>
                <w:sz w:val="28"/>
                <w:szCs w:val="28"/>
              </w:rPr>
            </w:r>
          </w:p>
        </w:tc>
      </w:tr>
      <w:tr>
        <w:trPr>
          <w:trHeight w:val="536" w:hRule="atLeast"/>
        </w:trPr>
        <w:tc>
          <w:tcPr>
            <w:tcW w:w="17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rFonts w:cs="宋体" w:hint="eastAsia"/>
                <w:kern w:val="1"/>
                <w:sz w:val="24"/>
              </w:rPr>
              <w:t>学校名称</w:t>
            </w:r>
            <w:r>
              <w:rPr>
                <w:kern w:val="1"/>
                <w:sz w:val="24"/>
                <w:szCs w:val="24"/>
              </w:rPr>
            </w:r>
          </w:p>
        </w:tc>
        <w:tc>
          <w:tcPr>
            <w:tcW w:w="7225" w:type="dxa"/>
            <w:gridSpan w:val="5"/>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kern w:val="1"/>
                <w:sz w:val="24"/>
              </w:rPr>
              <w:t xml:space="preserve">       </w:t>
            </w:r>
            <w:r>
              <w:rPr>
                <w:rFonts w:cs="宋体" w:hint="eastAsia"/>
                <w:kern w:val="1"/>
                <w:sz w:val="24"/>
              </w:rPr>
              <w:t>（加盖单位公章）</w:t>
            </w:r>
            <w:r>
              <w:rPr>
                <w:kern w:val="1"/>
                <w:sz w:val="24"/>
                <w:szCs w:val="24"/>
              </w:rPr>
            </w:r>
          </w:p>
        </w:tc>
      </w:tr>
      <w:tr>
        <w:trPr>
          <w:trHeight w:val="573" w:hRule="atLeast"/>
        </w:trPr>
        <w:tc>
          <w:tcPr>
            <w:tcW w:w="17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rFonts w:cs="宋体" w:hint="eastAsia"/>
                <w:kern w:val="1"/>
                <w:sz w:val="24"/>
              </w:rPr>
              <w:t>地址</w:t>
            </w:r>
            <w:r>
              <w:rPr>
                <w:kern w:val="1"/>
                <w:sz w:val="24"/>
                <w:szCs w:val="24"/>
              </w:rPr>
            </w:r>
          </w:p>
        </w:tc>
        <w:tc>
          <w:tcPr>
            <w:tcW w:w="7225" w:type="dxa"/>
            <w:gridSpan w:val="5"/>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kern w:val="1"/>
                <w:sz w:val="24"/>
                <w:szCs w:val="24"/>
              </w:rPr>
            </w:r>
          </w:p>
        </w:tc>
      </w:tr>
      <w:tr>
        <w:trPr>
          <w:trHeight w:val="573" w:hRule="atLeast"/>
        </w:trPr>
        <w:tc>
          <w:tcPr>
            <w:tcW w:w="17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rFonts w:cs="宋体" w:hint="eastAsia"/>
                <w:kern w:val="1"/>
                <w:sz w:val="24"/>
              </w:rPr>
              <w:t>法人登记机构</w:t>
            </w:r>
            <w:r>
              <w:rPr>
                <w:kern w:val="1"/>
                <w:sz w:val="24"/>
                <w:szCs w:val="24"/>
              </w:rPr>
            </w:r>
          </w:p>
        </w:tc>
        <w:tc>
          <w:tcPr>
            <w:tcW w:w="7225" w:type="dxa"/>
            <w:gridSpan w:val="5"/>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kern w:val="1"/>
                <w:sz w:val="24"/>
                <w:szCs w:val="24"/>
              </w:rPr>
            </w:r>
          </w:p>
        </w:tc>
      </w:tr>
      <w:tr>
        <w:trPr>
          <w:trHeight w:val="892" w:hRule="atLeast"/>
        </w:trPr>
        <w:tc>
          <w:tcPr>
            <w:tcW w:w="17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rFonts w:cs="宋体" w:hint="eastAsia"/>
                <w:kern w:val="1"/>
                <w:sz w:val="24"/>
              </w:rPr>
              <w:t>统一社会信用代码</w:t>
            </w:r>
            <w:r>
              <w:rPr>
                <w:kern w:val="1"/>
                <w:sz w:val="24"/>
                <w:szCs w:val="24"/>
              </w:rPr>
            </w:r>
          </w:p>
        </w:tc>
        <w:tc>
          <w:tcPr>
            <w:tcW w:w="7225" w:type="dxa"/>
            <w:gridSpan w:val="5"/>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kern w:val="1"/>
                <w:sz w:val="24"/>
                <w:szCs w:val="24"/>
              </w:rPr>
            </w:r>
          </w:p>
        </w:tc>
      </w:tr>
      <w:tr>
        <w:trPr>
          <w:trHeight w:val="574" w:hRule="atLeast"/>
        </w:trPr>
        <w:tc>
          <w:tcPr>
            <w:tcW w:w="17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rFonts w:cs="宋体" w:hint="eastAsia"/>
                <w:kern w:val="1"/>
                <w:sz w:val="24"/>
              </w:rPr>
              <w:t>单位性质</w:t>
            </w:r>
            <w:r>
              <w:rPr>
                <w:kern w:val="1"/>
                <w:sz w:val="24"/>
                <w:szCs w:val="24"/>
              </w:rPr>
            </w:r>
          </w:p>
        </w:tc>
        <w:tc>
          <w:tcPr>
            <w:tcW w:w="7225" w:type="dxa"/>
            <w:gridSpan w:val="5"/>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cs="宋体"/>
                <w:kern w:val="1"/>
                <w:sz w:val="24"/>
                <w:szCs w:val="24"/>
              </w:rPr>
            </w:pPr>
            <w:r>
              <w:rPr>
                <w:rFonts w:ascii="宋体" w:hAnsi="宋体" w:cs="宋体" w:hint="eastAsia"/>
                <w:kern w:val="1"/>
                <w:sz w:val="24"/>
              </w:rPr>
              <w:t xml:space="preserve">□省属公办院校  □省属民办院校 </w:t>
            </w:r>
            <w:r>
              <w:rPr>
                <w:rFonts w:ascii="宋体" w:hAnsi="宋体" w:cs="宋体"/>
                <w:kern w:val="1"/>
                <w:sz w:val="24"/>
                <w:szCs w:val="24"/>
              </w:rPr>
            </w:r>
          </w:p>
          <w:p>
            <w:pPr>
              <w:spacing w:line="560" w:lineRule="exact"/>
              <w:jc w:val="center"/>
              <w:rPr>
                <w:kern w:val="1"/>
                <w:sz w:val="24"/>
                <w:szCs w:val="24"/>
              </w:rPr>
            </w:pPr>
            <w:r>
              <w:rPr>
                <w:rFonts w:ascii="宋体" w:hAnsi="宋体" w:cs="宋体" w:hint="eastAsia"/>
                <w:kern w:val="1"/>
                <w:sz w:val="24"/>
              </w:rPr>
              <w:t xml:space="preserve"> □市属公办院校  □市属民办院校</w:t>
            </w:r>
            <w:r>
              <w:rPr>
                <w:kern w:val="1"/>
                <w:sz w:val="24"/>
                <w:szCs w:val="24"/>
              </w:rPr>
            </w:r>
          </w:p>
        </w:tc>
      </w:tr>
      <w:tr>
        <w:trPr>
          <w:trHeight w:val="574" w:hRule="atLeast"/>
        </w:trPr>
        <w:tc>
          <w:tcPr>
            <w:tcW w:w="17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rFonts w:cs="宋体" w:hint="eastAsia"/>
                <w:kern w:val="1"/>
                <w:sz w:val="24"/>
              </w:rPr>
              <w:t>培养目标</w:t>
            </w:r>
            <w:r>
              <w:rPr>
                <w:kern w:val="1"/>
                <w:sz w:val="24"/>
                <w:szCs w:val="24"/>
              </w:rPr>
            </w:r>
          </w:p>
        </w:tc>
        <w:tc>
          <w:tcPr>
            <w:tcW w:w="7225" w:type="dxa"/>
            <w:gridSpan w:val="5"/>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宋体" w:hAnsi="宋体"/>
                <w:kern w:val="1"/>
                <w:szCs w:val="24"/>
              </w:rPr>
            </w:pPr>
            <w:r>
              <w:rPr>
                <w:rFonts w:ascii="宋体" w:hAnsi="宋体"/>
                <w:kern w:val="1"/>
                <w:szCs w:val="24"/>
              </w:rPr>
            </w:r>
          </w:p>
        </w:tc>
      </w:tr>
      <w:tr>
        <w:trPr>
          <w:trHeight w:val="589" w:hRule="atLeast"/>
        </w:trPr>
        <w:tc>
          <w:tcPr>
            <w:tcW w:w="1770"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rFonts w:cs="宋体" w:hint="eastAsia"/>
                <w:kern w:val="1"/>
                <w:sz w:val="24"/>
              </w:rPr>
              <w:t>负责人</w:t>
            </w:r>
            <w:r>
              <w:rPr>
                <w:kern w:val="1"/>
                <w:sz w:val="24"/>
                <w:szCs w:val="24"/>
              </w:rPr>
            </w:r>
          </w:p>
        </w:tc>
        <w:tc>
          <w:tcPr>
            <w:tcW w:w="107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kern w:val="1"/>
                <w:sz w:val="24"/>
                <w:szCs w:val="24"/>
              </w:rPr>
            </w:r>
          </w:p>
        </w:tc>
        <w:tc>
          <w:tcPr>
            <w:tcW w:w="150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rFonts w:cs="宋体" w:hint="eastAsia"/>
                <w:kern w:val="1"/>
                <w:sz w:val="24"/>
              </w:rPr>
              <w:t>职务</w:t>
            </w:r>
            <w:r>
              <w:rPr>
                <w:kern w:val="1"/>
                <w:sz w:val="24"/>
                <w:szCs w:val="24"/>
              </w:rPr>
            </w:r>
          </w:p>
        </w:tc>
        <w:tc>
          <w:tcPr>
            <w:tcW w:w="126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kern w:val="1"/>
                <w:sz w:val="24"/>
                <w:szCs w:val="24"/>
              </w:rPr>
            </w:r>
          </w:p>
        </w:tc>
        <w:tc>
          <w:tcPr>
            <w:tcW w:w="1275"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rFonts w:cs="宋体" w:hint="eastAsia"/>
                <w:kern w:val="1"/>
                <w:sz w:val="24"/>
              </w:rPr>
              <w:t>电话</w:t>
            </w:r>
            <w:r>
              <w:rPr>
                <w:kern w:val="1"/>
                <w:sz w:val="24"/>
                <w:szCs w:val="24"/>
              </w:rPr>
            </w:r>
          </w:p>
        </w:tc>
        <w:tc>
          <w:tcPr>
            <w:tcW w:w="2115"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kern w:val="1"/>
                <w:sz w:val="24"/>
                <w:szCs w:val="24"/>
              </w:rPr>
            </w:r>
          </w:p>
        </w:tc>
      </w:tr>
      <w:tr>
        <w:trPr>
          <w:trHeight w:val="401" w:hRule="atLeast"/>
        </w:trPr>
        <w:tc>
          <w:tcPr>
            <w:tcW w:w="1770"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rFonts w:cs="宋体" w:hint="eastAsia"/>
                <w:kern w:val="1"/>
                <w:sz w:val="24"/>
              </w:rPr>
              <w:t>业务联系人</w:t>
            </w:r>
            <w:r>
              <w:rPr>
                <w:kern w:val="1"/>
                <w:sz w:val="24"/>
                <w:szCs w:val="24"/>
              </w:rPr>
            </w:r>
          </w:p>
        </w:tc>
        <w:tc>
          <w:tcPr>
            <w:tcW w:w="1073"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kern w:val="1"/>
                <w:sz w:val="24"/>
                <w:szCs w:val="24"/>
              </w:rPr>
            </w:r>
          </w:p>
        </w:tc>
        <w:tc>
          <w:tcPr>
            <w:tcW w:w="1501"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rFonts w:cs="宋体" w:hint="eastAsia"/>
                <w:kern w:val="1"/>
                <w:sz w:val="24"/>
              </w:rPr>
              <w:t>职务</w:t>
            </w:r>
            <w:r>
              <w:rPr>
                <w:kern w:val="1"/>
                <w:sz w:val="24"/>
                <w:szCs w:val="24"/>
              </w:rPr>
            </w:r>
          </w:p>
        </w:tc>
        <w:tc>
          <w:tcPr>
            <w:tcW w:w="1261" w:type="dxa"/>
            <w:vMerge w:val="restart"/>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kern w:val="1"/>
                <w:sz w:val="24"/>
                <w:szCs w:val="24"/>
              </w:rPr>
            </w:r>
          </w:p>
        </w:tc>
        <w:tc>
          <w:tcPr>
            <w:tcW w:w="1275"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rFonts w:cs="宋体" w:hint="eastAsia"/>
                <w:kern w:val="1"/>
                <w:sz w:val="24"/>
              </w:rPr>
              <w:t>电话</w:t>
            </w:r>
            <w:r>
              <w:rPr>
                <w:kern w:val="1"/>
                <w:sz w:val="24"/>
                <w:szCs w:val="24"/>
              </w:rPr>
            </w:r>
          </w:p>
        </w:tc>
        <w:tc>
          <w:tcPr>
            <w:tcW w:w="2115"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kern w:val="1"/>
                <w:sz w:val="24"/>
                <w:szCs w:val="24"/>
              </w:rPr>
            </w:r>
          </w:p>
        </w:tc>
      </w:tr>
      <w:tr>
        <w:trPr>
          <w:trHeight w:val="420" w:hRule="atLeast"/>
        </w:trPr>
        <w:tc>
          <w:tcPr>
            <w:tcW w:w="1770"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073"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01"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261"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275"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rFonts w:cs="宋体" w:hint="eastAsia"/>
                <w:kern w:val="1"/>
                <w:sz w:val="24"/>
              </w:rPr>
              <w:t>手机</w:t>
            </w:r>
            <w:r>
              <w:rPr>
                <w:kern w:val="1"/>
                <w:sz w:val="24"/>
                <w:szCs w:val="24"/>
              </w:rPr>
            </w:r>
          </w:p>
        </w:tc>
        <w:tc>
          <w:tcPr>
            <w:tcW w:w="2115"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kern w:val="1"/>
                <w:sz w:val="24"/>
                <w:szCs w:val="24"/>
              </w:rPr>
            </w:r>
          </w:p>
        </w:tc>
      </w:tr>
      <w:tr>
        <w:trPr>
          <w:trHeight w:val="390" w:hRule="atLeast"/>
        </w:trPr>
        <w:tc>
          <w:tcPr>
            <w:tcW w:w="1770"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073"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501"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261" w:type="dxa"/>
            <w:vMerge/>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tc>
        <w:tc>
          <w:tcPr>
            <w:tcW w:w="1275"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cs="宋体"/>
                <w:kern w:val="1"/>
                <w:sz w:val="24"/>
                <w:szCs w:val="24"/>
              </w:rPr>
            </w:pPr>
            <w:r>
              <w:rPr>
                <w:rFonts w:cs="宋体" w:hint="eastAsia"/>
                <w:kern w:val="1"/>
                <w:sz w:val="24"/>
              </w:rPr>
              <w:t>电子邮箱</w:t>
            </w:r>
            <w:r>
              <w:rPr>
                <w:rFonts w:cs="宋体"/>
                <w:kern w:val="1"/>
                <w:sz w:val="24"/>
                <w:szCs w:val="24"/>
              </w:rPr>
            </w:r>
          </w:p>
        </w:tc>
        <w:tc>
          <w:tcPr>
            <w:tcW w:w="2115"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kern w:val="1"/>
                <w:sz w:val="24"/>
                <w:szCs w:val="24"/>
              </w:rPr>
            </w:pPr>
            <w:r>
              <w:rPr>
                <w:kern w:val="1"/>
                <w:sz w:val="24"/>
                <w:szCs w:val="24"/>
              </w:rPr>
            </w:r>
          </w:p>
        </w:tc>
      </w:tr>
      <w:tr>
        <w:trPr>
          <w:trHeight w:val="577" w:hRule="atLeast"/>
        </w:trPr>
        <w:tc>
          <w:tcPr>
            <w:tcW w:w="8995" w:type="dxa"/>
            <w:gridSpan w:val="6"/>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rPr>
                <w:kern w:val="1"/>
                <w:sz w:val="28"/>
                <w:szCs w:val="28"/>
              </w:rPr>
            </w:pPr>
            <w:r>
              <w:rPr>
                <w:rFonts w:eastAsia="黑体" w:cs="黑体" w:hint="eastAsia"/>
                <w:kern w:val="1"/>
                <w:sz w:val="28"/>
                <w:szCs w:val="28"/>
              </w:rPr>
              <w:t>二、院校基本情况、专业设置及职业技能鉴定所（站）开展工作情况（未设职业技能鉴定所（站）的请说明机构设置情况）等</w:t>
            </w:r>
            <w:r>
              <w:rPr>
                <w:kern w:val="1"/>
                <w:sz w:val="28"/>
                <w:szCs w:val="28"/>
              </w:rPr>
            </w:r>
          </w:p>
        </w:tc>
      </w:tr>
      <w:tr>
        <w:trPr>
          <w:trHeight w:val="2037" w:hRule="atLeast"/>
        </w:trPr>
        <w:tc>
          <w:tcPr>
            <w:tcW w:w="8995" w:type="dxa"/>
            <w:gridSpan w:val="6"/>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left"/>
              <w:rPr>
                <w:kern w:val="1"/>
                <w:sz w:val="28"/>
                <w:szCs w:val="28"/>
              </w:rPr>
            </w:pPr>
            <w:r>
              <w:rPr>
                <w:kern w:val="1"/>
                <w:sz w:val="28"/>
                <w:szCs w:val="28"/>
              </w:rPr>
            </w:r>
          </w:p>
          <w:p>
            <w:pPr>
              <w:spacing w:line="560" w:lineRule="exact"/>
              <w:jc w:val="left"/>
              <w:rPr>
                <w:kern w:val="1"/>
                <w:sz w:val="28"/>
                <w:szCs w:val="28"/>
              </w:rPr>
            </w:pPr>
            <w:r>
              <w:rPr>
                <w:kern w:val="1"/>
                <w:sz w:val="28"/>
                <w:szCs w:val="28"/>
              </w:rPr>
            </w:r>
          </w:p>
          <w:p>
            <w:pPr>
              <w:spacing w:line="560" w:lineRule="exact"/>
              <w:jc w:val="left"/>
              <w:rPr>
                <w:kern w:val="1"/>
                <w:sz w:val="28"/>
                <w:szCs w:val="28"/>
              </w:rPr>
            </w:pPr>
            <w:r>
              <w:rPr>
                <w:kern w:val="1"/>
                <w:sz w:val="28"/>
                <w:szCs w:val="28"/>
              </w:rPr>
            </w:r>
          </w:p>
          <w:p>
            <w:pPr>
              <w:spacing w:line="560" w:lineRule="exact"/>
              <w:jc w:val="left"/>
              <w:rPr>
                <w:kern w:val="1"/>
                <w:sz w:val="28"/>
                <w:szCs w:val="28"/>
              </w:rPr>
            </w:pPr>
            <w:r>
              <w:rPr>
                <w:kern w:val="1"/>
                <w:sz w:val="28"/>
                <w:szCs w:val="28"/>
              </w:rPr>
            </w:r>
          </w:p>
          <w:p>
            <w:pPr>
              <w:spacing w:line="560" w:lineRule="exact"/>
              <w:jc w:val="left"/>
              <w:rPr>
                <w:kern w:val="1"/>
                <w:sz w:val="28"/>
                <w:szCs w:val="28"/>
              </w:rPr>
            </w:pPr>
            <w:r>
              <w:rPr>
                <w:kern w:val="1"/>
                <w:sz w:val="28"/>
                <w:szCs w:val="28"/>
              </w:rPr>
            </w:r>
          </w:p>
        </w:tc>
      </w:tr>
      <w:tr>
        <w:trPr>
          <w:trHeight w:val="600" w:hRule="atLeast"/>
        </w:trPr>
        <w:tc>
          <w:tcPr>
            <w:tcW w:w="8995" w:type="dxa"/>
            <w:gridSpan w:val="6"/>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rPr>
                <w:kern w:val="1"/>
                <w:sz w:val="28"/>
                <w:szCs w:val="28"/>
              </w:rPr>
            </w:pPr>
            <w:r>
              <w:rPr>
                <w:rFonts w:eastAsia="黑体" w:cs="黑体" w:hint="eastAsia"/>
                <w:kern w:val="1"/>
                <w:sz w:val="28"/>
                <w:szCs w:val="28"/>
              </w:rPr>
              <w:t>三、场地设备情况</w:t>
            </w:r>
            <w:r>
              <w:rPr>
                <w:kern w:val="1"/>
                <w:sz w:val="28"/>
                <w:szCs w:val="28"/>
              </w:rPr>
            </w:r>
          </w:p>
        </w:tc>
      </w:tr>
      <w:tr>
        <w:trPr>
          <w:trHeight w:val="1995" w:hRule="atLeast"/>
        </w:trPr>
        <w:tc>
          <w:tcPr>
            <w:tcW w:w="8995" w:type="dxa"/>
            <w:gridSpan w:val="6"/>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rPr>
                <w:kern w:val="1"/>
                <w:sz w:val="24"/>
                <w:szCs w:val="24"/>
              </w:rPr>
            </w:pPr>
            <w:r>
              <w:rPr>
                <w:kern w:val="1"/>
                <w:sz w:val="24"/>
                <w:szCs w:val="24"/>
              </w:rPr>
            </w:r>
          </w:p>
          <w:p>
            <w:pPr>
              <w:spacing w:line="560" w:lineRule="exact"/>
              <w:rPr>
                <w:kern w:val="1"/>
                <w:sz w:val="24"/>
              </w:rPr>
            </w:pPr>
            <w:r>
              <w:rPr>
                <w:kern w:val="1"/>
                <w:sz w:val="24"/>
              </w:rPr>
            </w:r>
          </w:p>
          <w:p>
            <w:pPr>
              <w:spacing w:line="560" w:lineRule="exact"/>
              <w:rPr>
                <w:kern w:val="1"/>
                <w:sz w:val="24"/>
              </w:rPr>
            </w:pPr>
            <w:r>
              <w:rPr>
                <w:kern w:val="1"/>
                <w:sz w:val="24"/>
              </w:rPr>
            </w:r>
          </w:p>
          <w:p>
            <w:pPr>
              <w:spacing w:line="560" w:lineRule="exact"/>
              <w:rPr>
                <w:kern w:val="1"/>
                <w:sz w:val="24"/>
              </w:rPr>
            </w:pPr>
            <w:r>
              <w:rPr>
                <w:kern w:val="1"/>
                <w:sz w:val="24"/>
              </w:rPr>
            </w:r>
          </w:p>
          <w:p>
            <w:pPr>
              <w:spacing w:line="560" w:lineRule="exact"/>
              <w:rPr>
                <w:kern w:val="1"/>
                <w:sz w:val="24"/>
              </w:rPr>
            </w:pPr>
            <w:r>
              <w:rPr>
                <w:kern w:val="1"/>
                <w:sz w:val="24"/>
              </w:rPr>
            </w:r>
          </w:p>
          <w:p>
            <w:pPr>
              <w:spacing w:line="560" w:lineRule="exact"/>
              <w:rPr>
                <w:kern w:val="1"/>
                <w:sz w:val="24"/>
                <w:szCs w:val="24"/>
              </w:rPr>
            </w:pPr>
            <w:r>
              <w:rPr>
                <w:kern w:val="1"/>
                <w:sz w:val="24"/>
                <w:szCs w:val="24"/>
              </w:rPr>
            </w:r>
          </w:p>
        </w:tc>
      </w:tr>
      <w:tr>
        <w:trPr>
          <w:trHeight w:val="579" w:hRule="atLeast"/>
        </w:trPr>
        <w:tc>
          <w:tcPr>
            <w:tcW w:w="8995" w:type="dxa"/>
            <w:gridSpan w:val="6"/>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rPr>
                <w:kern w:val="1"/>
                <w:sz w:val="24"/>
                <w:szCs w:val="24"/>
              </w:rPr>
            </w:pPr>
            <w:r>
              <w:rPr>
                <w:rFonts w:eastAsia="黑体" w:cs="黑体" w:hint="eastAsia"/>
                <w:kern w:val="1"/>
                <w:sz w:val="28"/>
                <w:szCs w:val="28"/>
              </w:rPr>
              <w:t>四、专职人员和考评人员情况</w:t>
            </w:r>
            <w:r>
              <w:rPr>
                <w:kern w:val="1"/>
                <w:sz w:val="24"/>
                <w:szCs w:val="24"/>
              </w:rPr>
            </w:r>
          </w:p>
        </w:tc>
      </w:tr>
      <w:tr>
        <w:trPr>
          <w:trHeight w:val="397" w:hRule="atLeast"/>
        </w:trPr>
        <w:tc>
          <w:tcPr>
            <w:tcW w:w="8995" w:type="dxa"/>
            <w:gridSpan w:val="6"/>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rPr>
                <w:kern w:val="1"/>
                <w:sz w:val="24"/>
                <w:szCs w:val="24"/>
              </w:rPr>
            </w:pPr>
            <w:r>
              <w:rPr>
                <w:kern w:val="1"/>
                <w:sz w:val="24"/>
                <w:szCs w:val="24"/>
              </w:rPr>
            </w:r>
          </w:p>
          <w:p>
            <w:pPr>
              <w:spacing w:line="560" w:lineRule="exact"/>
              <w:rPr>
                <w:kern w:val="1"/>
                <w:sz w:val="24"/>
              </w:rPr>
            </w:pPr>
            <w:r>
              <w:rPr>
                <w:kern w:val="1"/>
                <w:sz w:val="24"/>
              </w:rPr>
            </w:r>
          </w:p>
          <w:p>
            <w:pPr>
              <w:spacing w:line="560" w:lineRule="exact"/>
              <w:rPr>
                <w:kern w:val="1"/>
                <w:sz w:val="24"/>
              </w:rPr>
            </w:pPr>
            <w:r>
              <w:rPr>
                <w:kern w:val="1"/>
                <w:sz w:val="24"/>
              </w:rPr>
            </w:r>
          </w:p>
          <w:p>
            <w:pPr>
              <w:spacing w:line="560" w:lineRule="exact"/>
              <w:rPr>
                <w:kern w:val="1"/>
                <w:sz w:val="24"/>
              </w:rPr>
            </w:pPr>
            <w:r>
              <w:rPr>
                <w:kern w:val="1"/>
                <w:sz w:val="24"/>
              </w:rPr>
            </w:r>
          </w:p>
          <w:p>
            <w:pPr>
              <w:spacing w:line="560" w:lineRule="exact"/>
              <w:rPr>
                <w:kern w:val="1"/>
                <w:sz w:val="24"/>
              </w:rPr>
            </w:pPr>
            <w:r>
              <w:rPr>
                <w:kern w:val="1"/>
                <w:sz w:val="24"/>
              </w:rPr>
            </w:r>
          </w:p>
          <w:p>
            <w:pPr>
              <w:spacing w:line="560" w:lineRule="exact"/>
              <w:rPr>
                <w:kern w:val="1"/>
                <w:sz w:val="24"/>
              </w:rPr>
            </w:pPr>
            <w:r>
              <w:rPr>
                <w:kern w:val="1"/>
                <w:sz w:val="24"/>
              </w:rPr>
            </w:r>
          </w:p>
          <w:p>
            <w:pPr>
              <w:spacing w:line="560" w:lineRule="exact"/>
              <w:rPr>
                <w:kern w:val="1"/>
                <w:sz w:val="24"/>
                <w:szCs w:val="24"/>
              </w:rPr>
            </w:pPr>
            <w:r>
              <w:rPr>
                <w:kern w:val="1"/>
                <w:sz w:val="24"/>
                <w:szCs w:val="24"/>
              </w:rPr>
            </w:r>
          </w:p>
        </w:tc>
      </w:tr>
      <w:tr>
        <w:trPr>
          <w:trHeight w:val="623" w:hRule="atLeast"/>
        </w:trPr>
        <w:tc>
          <w:tcPr>
            <w:tcW w:w="8995" w:type="dxa"/>
            <w:gridSpan w:val="6"/>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黑体" w:hAnsi="黑体" w:eastAsia="黑体" w:cs="黑体"/>
                <w:kern w:val="1"/>
                <w:sz w:val="28"/>
                <w:szCs w:val="28"/>
              </w:rPr>
            </w:pPr>
            <w:r>
              <w:rPr>
                <w:rFonts w:ascii="黑体" w:hAnsi="黑体" w:eastAsia="黑体" w:cs="黑体" w:hint="eastAsia"/>
                <w:kern w:val="1"/>
                <w:sz w:val="28"/>
                <w:szCs w:val="28"/>
              </w:rPr>
              <w:t>申请单位承诺</w:t>
            </w:r>
            <w:r>
              <w:rPr>
                <w:rFonts w:ascii="黑体" w:hAnsi="黑体" w:eastAsia="黑体" w:cs="黑体"/>
                <w:kern w:val="1"/>
                <w:sz w:val="28"/>
                <w:szCs w:val="28"/>
              </w:rPr>
            </w:r>
          </w:p>
        </w:tc>
      </w:tr>
      <w:tr>
        <w:trPr>
          <w:trHeight w:val="2684" w:hRule="atLeast"/>
        </w:trPr>
        <w:tc>
          <w:tcPr>
            <w:tcW w:w="8995" w:type="dxa"/>
            <w:gridSpan w:val="6"/>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line="560" w:lineRule="exact"/>
              <w:jc w:val="center"/>
              <w:rPr>
                <w:rFonts w:ascii="仿宋" w:hAnsi="仿宋" w:eastAsia="仿宋" w:cs="宋体"/>
                <w:kern w:val="1"/>
                <w:sz w:val="28"/>
                <w:szCs w:val="28"/>
              </w:rPr>
            </w:pPr>
            <w:r>
              <w:rPr>
                <w:rFonts w:ascii="仿宋" w:hAnsi="仿宋" w:eastAsia="仿宋" w:cs="宋体"/>
                <w:kern w:val="1"/>
                <w:sz w:val="28"/>
                <w:szCs w:val="28"/>
              </w:rPr>
            </w:r>
          </w:p>
          <w:p>
            <w:pPr>
              <w:spacing w:line="560" w:lineRule="exact"/>
              <w:jc w:val="center"/>
              <w:rPr>
                <w:rFonts w:ascii="仿宋_GB2312" w:hAnsi="仿宋_GB2312" w:eastAsia="仿宋_GB2312" w:cs="仿宋" w:hint="eastAsia"/>
                <w:kern w:val="1"/>
                <w:sz w:val="28"/>
                <w:szCs w:val="28"/>
              </w:rPr>
            </w:pPr>
            <w:r>
              <w:rPr>
                <w:rFonts w:ascii="仿宋_GB2312" w:hAnsi="仿宋_GB2312" w:eastAsia="仿宋_GB2312" w:cs="宋体" w:hint="eastAsia"/>
                <w:kern w:val="1"/>
                <w:sz w:val="28"/>
                <w:szCs w:val="28"/>
              </w:rPr>
              <w:t>单位法人代表对所填写内容及所提供材料的真实性和有效性负责。</w:t>
            </w:r>
            <w:r>
              <w:rPr>
                <w:rFonts w:ascii="仿宋_GB2312" w:hAnsi="仿宋_GB2312" w:eastAsia="仿宋_GB2312" w:cs="仿宋" w:hint="eastAsia"/>
                <w:kern w:val="1"/>
                <w:sz w:val="28"/>
                <w:szCs w:val="28"/>
              </w:rPr>
            </w:r>
          </w:p>
          <w:p>
            <w:pPr>
              <w:spacing w:line="560" w:lineRule="exact"/>
              <w:rPr>
                <w:rFonts w:ascii="仿宋_GB2312" w:hAnsi="仿宋_GB2312" w:eastAsia="仿宋_GB2312" w:cs="宋体" w:hint="eastAsia"/>
                <w:kern w:val="1"/>
                <w:sz w:val="28"/>
                <w:szCs w:val="28"/>
              </w:rPr>
            </w:pPr>
            <w:r>
              <w:rPr>
                <w:rFonts w:ascii="仿宋_GB2312" w:hAnsi="仿宋_GB2312" w:eastAsia="仿宋_GB2312" w:cs="宋体" w:hint="eastAsia"/>
                <w:kern w:val="1"/>
                <w:sz w:val="28"/>
                <w:szCs w:val="28"/>
              </w:rPr>
            </w:r>
          </w:p>
          <w:p>
            <w:pPr>
              <w:spacing w:line="560" w:lineRule="exact"/>
              <w:jc w:val="center"/>
              <w:rPr>
                <w:rFonts w:ascii="仿宋_GB2312" w:hAnsi="仿宋_GB2312" w:eastAsia="仿宋_GB2312" w:hint="eastAsia"/>
                <w:kern w:val="1"/>
                <w:sz w:val="24"/>
                <w:szCs w:val="24"/>
              </w:rPr>
            </w:pPr>
            <w:r>
              <w:rPr>
                <w:rFonts w:ascii="仿宋_GB2312" w:hAnsi="仿宋_GB2312" w:eastAsia="仿宋_GB2312" w:cs="宋体" w:hint="eastAsia"/>
                <w:kern w:val="1"/>
                <w:sz w:val="28"/>
                <w:szCs w:val="28"/>
              </w:rPr>
              <w:t xml:space="preserve">                         法人代表签字：</w:t>
            </w:r>
            <w:r>
              <w:rPr>
                <w:rFonts w:ascii="仿宋_GB2312" w:hAnsi="仿宋_GB2312" w:eastAsia="仿宋_GB2312" w:hint="eastAsia"/>
                <w:kern w:val="1"/>
                <w:sz w:val="24"/>
              </w:rPr>
              <w:t xml:space="preserve">                                </w:t>
            </w:r>
            <w:r>
              <w:rPr>
                <w:rFonts w:ascii="仿宋_GB2312" w:hAnsi="仿宋_GB2312" w:eastAsia="仿宋_GB2312" w:hint="eastAsia"/>
                <w:kern w:val="1"/>
                <w:sz w:val="24"/>
                <w:szCs w:val="24"/>
              </w:rPr>
            </w:r>
          </w:p>
          <w:p>
            <w:pPr>
              <w:spacing w:line="560" w:lineRule="exact"/>
              <w:jc w:val="center"/>
              <w:rPr>
                <w:rFonts w:ascii="仿宋_GB2312" w:hAnsi="仿宋_GB2312" w:eastAsia="仿宋_GB2312" w:cs="仿宋" w:hint="eastAsia"/>
                <w:kern w:val="1"/>
                <w:sz w:val="28"/>
                <w:szCs w:val="28"/>
              </w:rPr>
            </w:pPr>
            <w:r>
              <w:rPr>
                <w:rFonts w:ascii="仿宋_GB2312" w:hAnsi="仿宋_GB2312" w:eastAsia="仿宋_GB2312" w:hint="eastAsia"/>
                <w:kern w:val="1"/>
                <w:sz w:val="24"/>
              </w:rPr>
              <w:t xml:space="preserve">                                 </w:t>
            </w:r>
            <w:r>
              <w:rPr>
                <w:rFonts w:ascii="仿宋_GB2312" w:hAnsi="仿宋_GB2312" w:eastAsia="仿宋_GB2312" w:cs="仿宋" w:hint="eastAsia"/>
                <w:kern w:val="1"/>
                <w:sz w:val="28"/>
                <w:szCs w:val="28"/>
              </w:rPr>
              <w:t xml:space="preserve"> </w:t>
            </w:r>
            <w:r>
              <w:rPr>
                <w:rFonts w:ascii="仿宋_GB2312" w:hAnsi="仿宋_GB2312" w:eastAsia="仿宋_GB2312" w:cs="宋体" w:hint="eastAsia"/>
                <w:kern w:val="1"/>
                <w:sz w:val="28"/>
                <w:szCs w:val="28"/>
              </w:rPr>
              <w:t>单位（公章）</w:t>
            </w:r>
            <w:r>
              <w:rPr>
                <w:rFonts w:ascii="仿宋_GB2312" w:hAnsi="仿宋_GB2312" w:eastAsia="仿宋_GB2312" w:cs="仿宋" w:hint="eastAsia"/>
                <w:kern w:val="1"/>
                <w:sz w:val="28"/>
                <w:szCs w:val="28"/>
              </w:rPr>
            </w:r>
          </w:p>
          <w:p>
            <w:pPr>
              <w:spacing w:line="560" w:lineRule="exact"/>
              <w:jc w:val="center"/>
              <w:rPr>
                <w:kern w:val="1"/>
                <w:sz w:val="24"/>
                <w:szCs w:val="24"/>
              </w:rPr>
            </w:pPr>
            <w:r>
              <w:rPr>
                <w:rFonts w:ascii="仿宋_GB2312" w:hAnsi="仿宋_GB2312" w:eastAsia="仿宋_GB2312" w:cs="仿宋" w:hint="eastAsia"/>
                <w:kern w:val="1"/>
                <w:sz w:val="28"/>
                <w:szCs w:val="28"/>
              </w:rPr>
              <w:t xml:space="preserve">                                  </w:t>
            </w:r>
            <w:r>
              <w:rPr>
                <w:rFonts w:ascii="仿宋_GB2312" w:hAnsi="仿宋_GB2312" w:eastAsia="仿宋_GB2312" w:cs="宋体" w:hint="eastAsia"/>
                <w:kern w:val="1"/>
                <w:sz w:val="28"/>
                <w:szCs w:val="28"/>
              </w:rPr>
              <w:t>年</w:t>
            </w:r>
            <w:r>
              <w:rPr>
                <w:rFonts w:ascii="仿宋_GB2312" w:hAnsi="仿宋_GB2312" w:eastAsia="仿宋_GB2312" w:cs="仿宋" w:hint="eastAsia"/>
                <w:kern w:val="1"/>
                <w:sz w:val="28"/>
                <w:szCs w:val="28"/>
              </w:rPr>
              <w:t xml:space="preserve">   </w:t>
            </w:r>
            <w:r>
              <w:rPr>
                <w:rFonts w:ascii="仿宋_GB2312" w:hAnsi="仿宋_GB2312" w:eastAsia="仿宋_GB2312" w:cs="宋体" w:hint="eastAsia"/>
                <w:kern w:val="1"/>
                <w:sz w:val="28"/>
                <w:szCs w:val="28"/>
              </w:rPr>
              <w:t>月</w:t>
            </w:r>
            <w:r>
              <w:rPr>
                <w:rFonts w:ascii="仿宋_GB2312" w:hAnsi="仿宋_GB2312" w:eastAsia="仿宋_GB2312" w:cs="仿宋" w:hint="eastAsia"/>
                <w:kern w:val="1"/>
                <w:sz w:val="28"/>
                <w:szCs w:val="28"/>
              </w:rPr>
              <w:t xml:space="preserve">  </w:t>
            </w:r>
            <w:r>
              <w:rPr>
                <w:rFonts w:ascii="仿宋_GB2312" w:hAnsi="仿宋_GB2312" w:eastAsia="仿宋_GB2312" w:cs="宋体" w:hint="eastAsia"/>
                <w:kern w:val="1"/>
                <w:sz w:val="28"/>
                <w:szCs w:val="28"/>
              </w:rPr>
              <w:t>日</w:t>
            </w:r>
            <w:r>
              <w:rPr>
                <w:kern w:val="1"/>
                <w:sz w:val="24"/>
                <w:szCs w:val="24"/>
              </w:rPr>
            </w:r>
          </w:p>
        </w:tc>
      </w:tr>
    </w:tbl>
    <w:p>
      <w:pPr>
        <w:spacing w:line="560" w:lineRule="exact"/>
        <w:jc w:val="left"/>
        <w:rPr>
          <w:rFonts w:ascii="黑体" w:hAnsi="黑体" w:eastAsia="黑体" w:cs="黑体" w:hint="eastAsia"/>
          <w:kern w:val="1"/>
        </w:rPr>
      </w:pPr>
      <w:r>
        <w:rPr>
          <w:rFonts w:ascii="黑体" w:hAnsi="黑体" w:eastAsia="黑体" w:cs="黑体" w:hint="eastAsia"/>
          <w:kern w:val="1"/>
        </w:rPr>
        <w:t>附件2</w:t>
      </w:r>
    </w:p>
    <w:p>
      <w:pPr>
        <w:ind w:firstLine="632"/>
        <w:spacing w:line="560" w:lineRule="exact"/>
        <w:jc w:val="left"/>
        <w:rPr>
          <w:rFonts w:ascii="仿宋" w:hAnsi="仿宋" w:eastAsia="仿宋" w:cs="仿宋" w:hint="eastAsia"/>
          <w:kern w:val="1"/>
        </w:rPr>
      </w:pPr>
      <w:r>
        <w:rPr>
          <w:rFonts w:ascii="仿宋" w:hAnsi="仿宋" w:eastAsia="仿宋" w:cs="仿宋" w:hint="eastAsia"/>
          <w:kern w:val="1"/>
        </w:rPr>
      </w:r>
    </w:p>
    <w:p>
      <w:pPr>
        <w:ind w:firstLine="436"/>
        <w:spacing w:line="560" w:lineRule="exact"/>
        <w:rPr>
          <w:rFonts w:ascii="方正小标宋简体" w:hAnsi="方正小标宋简体" w:eastAsia="方正小标宋简体" w:hint="eastAsia"/>
          <w:kern w:val="1"/>
          <w:sz w:val="44"/>
          <w:szCs w:val="44"/>
        </w:rPr>
      </w:pPr>
      <w:r>
        <w:rPr>
          <w:rFonts w:ascii="方正小标宋简体" w:hAnsi="方正小标宋简体" w:eastAsia="方正小标宋简体" w:cs="方正小标宋简体" w:hint="eastAsia"/>
          <w:kern w:val="1"/>
          <w:sz w:val="44"/>
          <w:szCs w:val="44"/>
        </w:rPr>
        <w:t>技工院校职业技能等级认定工作方案（模板）</w:t>
      </w:r>
      <w:r>
        <w:rPr>
          <w:rFonts w:ascii="方正小标宋简体" w:hAnsi="方正小标宋简体" w:eastAsia="方正小标宋简体" w:cs="黑体" w:hint="eastAsia"/>
          <w:kern w:val="1"/>
        </w:rPr>
        <w:t xml:space="preserve">  </w:t>
      </w:r>
      <w:r>
        <w:rPr>
          <w:rFonts w:ascii="方正小标宋简体" w:hAnsi="方正小标宋简体" w:eastAsia="方正小标宋简体" w:hint="eastAsia"/>
          <w:kern w:val="1"/>
          <w:sz w:val="44"/>
          <w:szCs w:val="44"/>
        </w:rPr>
      </w:r>
    </w:p>
    <w:p>
      <w:pPr>
        <w:ind w:firstLine="632"/>
        <w:spacing w:line="560" w:lineRule="exact"/>
        <w:jc w:val="left"/>
        <w:rPr>
          <w:rFonts w:ascii="黑体" w:hAnsi="黑体" w:eastAsia="黑体" w:cs="黑体" w:hint="eastAsia"/>
          <w:kern w:val="1"/>
        </w:rPr>
      </w:pPr>
      <w:r>
        <w:rPr>
          <w:rFonts w:ascii="黑体" w:hAnsi="黑体" w:eastAsia="黑体" w:cs="黑体" w:hint="eastAsia"/>
          <w:kern w:val="1"/>
        </w:rPr>
      </w:r>
    </w:p>
    <w:p>
      <w:pPr>
        <w:ind w:firstLine="632"/>
        <w:spacing w:line="560" w:lineRule="exact"/>
        <w:jc w:val="left"/>
        <w:rPr>
          <w:rFonts w:ascii="黑体" w:hAnsi="黑体" w:eastAsia="黑体" w:cs="黑体" w:hint="eastAsia"/>
          <w:kern w:val="1"/>
        </w:rPr>
      </w:pPr>
      <w:r>
        <w:rPr>
          <w:rFonts w:ascii="黑体" w:hAnsi="黑体" w:eastAsia="黑体" w:cs="黑体" w:hint="eastAsia"/>
          <w:kern w:val="1"/>
        </w:rPr>
        <w:t>一、基本情况</w:t>
      </w:r>
    </w:p>
    <w:p>
      <w:pPr>
        <w:ind w:firstLine="632"/>
        <w:spacing w:line="560" w:lineRule="exact"/>
        <w:jc w:val="left"/>
        <w:rPr>
          <w:rFonts w:ascii="仿宋_GB2312" w:hAnsi="仿宋_GB2312" w:eastAsia="仿宋_GB2312" w:hint="eastAsia"/>
          <w:kern w:val="1"/>
        </w:rPr>
      </w:pPr>
      <w:r>
        <w:rPr>
          <w:rFonts w:ascii="仿宋_GB2312" w:hAnsi="仿宋_GB2312" w:eastAsia="仿宋_GB2312" w:hint="eastAsia"/>
          <w:kern w:val="1"/>
        </w:rPr>
        <w:t>学校简介，专业设置，近</w:t>
      </w:r>
      <w:r>
        <w:rPr>
          <w:rFonts w:ascii="仿宋_GB2312" w:hAnsi="仿宋_GB2312" w:eastAsia="仿宋_GB2312" w:cs="仿宋" w:hint="eastAsia"/>
          <w:kern w:val="1"/>
        </w:rPr>
        <w:t>5</w:t>
      </w:r>
      <w:r>
        <w:rPr>
          <w:rFonts w:ascii="仿宋_GB2312" w:hAnsi="仿宋_GB2312" w:eastAsia="仿宋_GB2312" w:hint="eastAsia"/>
          <w:kern w:val="1"/>
        </w:rPr>
        <w:t>年招生、就业和职业技能鉴定所（站）工作开展情况（未设职业技能鉴定所（站）的请说明机构设置情况）。</w:t>
      </w:r>
    </w:p>
    <w:p>
      <w:pPr>
        <w:ind w:firstLine="632"/>
        <w:spacing w:line="560" w:lineRule="exact"/>
        <w:jc w:val="left"/>
        <w:rPr>
          <w:rFonts w:ascii="黑体" w:hAnsi="黑体" w:eastAsia="黑体" w:cs="黑体" w:hint="eastAsia"/>
          <w:kern w:val="1"/>
        </w:rPr>
      </w:pPr>
      <w:r>
        <w:rPr>
          <w:rFonts w:ascii="黑体" w:hAnsi="黑体" w:eastAsia="黑体" w:cs="黑体" w:hint="eastAsia"/>
          <w:kern w:val="1"/>
        </w:rPr>
        <w:t>二、工作机构及评价场所情况</w:t>
      </w:r>
    </w:p>
    <w:p>
      <w:pPr>
        <w:ind w:firstLine="632"/>
        <w:spacing w:line="560" w:lineRule="exact"/>
        <w:jc w:val="left"/>
        <w:rPr>
          <w:rFonts w:ascii="仿宋_GB2312" w:hAnsi="仿宋_GB2312" w:eastAsia="仿宋_GB2312" w:hint="eastAsia"/>
          <w:kern w:val="1"/>
        </w:rPr>
      </w:pPr>
      <w:r>
        <w:rPr>
          <w:rFonts w:ascii="仿宋_GB2312" w:hAnsi="仿宋_GB2312" w:eastAsia="仿宋_GB2312" w:hint="eastAsia"/>
          <w:kern w:val="1"/>
        </w:rPr>
        <w:t>工作人员分工情况，开展评价职业的场地、设施设备情况。</w:t>
      </w:r>
    </w:p>
    <w:p>
      <w:pPr>
        <w:spacing w:line="560" w:lineRule="exact"/>
        <w:jc w:val="left"/>
        <w:rPr>
          <w:rFonts w:ascii="黑体" w:hAnsi="黑体" w:eastAsia="黑体" w:cs="黑体" w:hint="eastAsia"/>
          <w:kern w:val="1"/>
        </w:rPr>
      </w:pPr>
      <w:r>
        <w:rPr>
          <w:rFonts w:ascii="黑体" w:hAnsi="黑体" w:eastAsia="黑体" w:cs="黑体" w:hint="eastAsia"/>
          <w:kern w:val="1"/>
        </w:rPr>
        <w:t xml:space="preserve">    三、职业技能等级认定有关制度文件</w:t>
      </w:r>
    </w:p>
    <w:p>
      <w:pPr>
        <w:ind w:firstLine="632"/>
        <w:spacing w:line="560" w:lineRule="exact"/>
        <w:jc w:val="left"/>
        <w:rPr>
          <w:rFonts w:ascii="仿宋_GB2312" w:hAnsi="仿宋_GB2312" w:eastAsia="仿宋_GB2312" w:hint="eastAsia"/>
          <w:kern w:val="1"/>
        </w:rPr>
      </w:pPr>
      <w:r>
        <w:rPr>
          <w:rFonts w:ascii="仿宋_GB2312" w:hAnsi="仿宋_GB2312" w:eastAsia="仿宋_GB2312" w:hint="eastAsia"/>
          <w:kern w:val="1"/>
        </w:rPr>
        <w:t>考评人员、内部质量督导人员等工作队伍建设及使用工作规范；职业技能等级证书样张及管理办法；技工院校职业技能等级认定质量内控管理办法。</w:t>
      </w:r>
    </w:p>
    <w:p>
      <w:pPr>
        <w:spacing w:line="560" w:lineRule="exact"/>
        <w:jc w:val="left"/>
        <w:rPr>
          <w:rFonts w:ascii="黑体" w:hAnsi="黑体" w:eastAsia="黑体" w:cs="黑体" w:hint="eastAsia"/>
          <w:kern w:val="1"/>
        </w:rPr>
      </w:pPr>
      <w:r>
        <w:rPr>
          <w:rFonts w:ascii="黑体" w:hAnsi="黑体" w:eastAsia="黑体" w:cs="黑体" w:hint="eastAsia"/>
          <w:kern w:val="1"/>
        </w:rPr>
        <w:t xml:space="preserve">    四、实施认定流程</w:t>
      </w:r>
    </w:p>
    <w:p>
      <w:pPr>
        <w:ind w:firstLine="632"/>
        <w:spacing w:line="560" w:lineRule="exact"/>
        <w:jc w:val="left"/>
        <w:rPr>
          <w:rFonts w:ascii="仿宋_GB2312" w:hAnsi="仿宋_GB2312" w:eastAsia="仿宋_GB2312" w:hint="eastAsia"/>
          <w:kern w:val="1"/>
        </w:rPr>
      </w:pPr>
      <w:r>
        <w:rPr>
          <w:rFonts w:ascii="仿宋_GB2312" w:hAnsi="仿宋_GB2312" w:eastAsia="仿宋_GB2312" w:hint="eastAsia"/>
          <w:kern w:val="1"/>
        </w:rPr>
        <w:t>发布认定（考试）计划公告（含认定对象申报条件、时间、地点、方式等）；考场安排；人员安排；认定的具体实施；认定结果的确认与提交。</w:t>
      </w:r>
    </w:p>
    <w:p>
      <w:pPr>
        <w:spacing w:line="560" w:lineRule="exact"/>
        <w:rPr>
          <w:rFonts w:ascii="仿宋_GB2312" w:hAnsi="仿宋_GB2312" w:eastAsia="仿宋_GB2312" w:hint="eastAsia"/>
          <w:kern w:val="1"/>
          <w:szCs w:val="24"/>
        </w:rPr>
      </w:pPr>
      <w:r>
        <w:rPr>
          <w:rFonts w:ascii="仿宋_GB2312" w:hAnsi="仿宋_GB2312" w:eastAsia="仿宋_GB2312" w:hint="eastAsia"/>
          <w:kern w:val="1"/>
          <w:szCs w:val="24"/>
        </w:rPr>
      </w:r>
      <w:r>
        <w:br w:type="page"/>
      </w:r>
    </w:p>
    <w:p>
      <w:pPr>
        <w:spacing w:line="560" w:lineRule="exact"/>
        <w:jc w:val="left"/>
        <w:rPr>
          <w:rFonts w:ascii="黑体" w:hAnsi="黑体" w:eastAsia="黑体" w:hint="eastAsia"/>
        </w:rPr>
      </w:pPr>
      <w:r>
        <w:rPr>
          <w:rFonts w:ascii="黑体" w:hAnsi="黑体" w:eastAsia="黑体" w:hint="eastAsia"/>
        </w:rPr>
        <w:t>附件3</w:t>
      </w:r>
    </w:p>
    <w:p>
      <w:pPr>
        <w:spacing w:line="560" w:lineRule="exact"/>
        <w:jc w:val="center"/>
        <w:rPr>
          <w:rFonts w:ascii="宋体" w:hAnsi="宋体" w:cs="宋体" w:hint="eastAsia"/>
          <w:kern w:val="1"/>
          <w:sz w:val="36"/>
          <w:szCs w:val="36"/>
        </w:rPr>
      </w:pPr>
      <w:r>
        <w:rPr>
          <w:rFonts w:ascii="宋体" w:hAnsi="宋体" w:cs="宋体" w:hint="eastAsia"/>
          <w:kern w:val="1"/>
          <w:sz w:val="36"/>
          <w:szCs w:val="36"/>
        </w:rPr>
      </w:r>
    </w:p>
    <w:p>
      <w:pPr>
        <w:spacing w:line="560" w:lineRule="exact"/>
        <w:jc w:val="center"/>
        <w:rPr>
          <w:rFonts w:ascii="方正小标宋简体" w:hAnsi="方正小标宋简体" w:eastAsia="方正小标宋简体" w:cs="宋体" w:hint="eastAsia"/>
          <w:kern w:val="1"/>
          <w:sz w:val="44"/>
          <w:szCs w:val="44"/>
        </w:rPr>
      </w:pPr>
      <w:r>
        <w:rPr>
          <w:rFonts w:ascii="方正小标宋简体" w:hAnsi="方正小标宋简体" w:eastAsia="方正小标宋简体" w:cs="宋体" w:hint="eastAsia"/>
          <w:kern w:val="1"/>
          <w:sz w:val="44"/>
          <w:szCs w:val="44"/>
        </w:rPr>
        <w:t>职业技能等级认定职业（工种）和</w:t>
      </w:r>
    </w:p>
    <w:p>
      <w:pPr>
        <w:spacing w:line="560" w:lineRule="exact"/>
        <w:jc w:val="center"/>
        <w:rPr>
          <w:rFonts w:ascii="方正小标宋简体" w:hAnsi="方正小标宋简体" w:eastAsia="方正小标宋简体" w:cs="宋体" w:hint="eastAsia"/>
          <w:kern w:val="1"/>
          <w:sz w:val="44"/>
          <w:szCs w:val="44"/>
        </w:rPr>
      </w:pPr>
      <w:r>
        <w:rPr>
          <w:rFonts w:ascii="方正小标宋简体" w:hAnsi="方正小标宋简体" w:eastAsia="方正小标宋简体" w:cs="宋体" w:hint="eastAsia"/>
          <w:kern w:val="1"/>
          <w:sz w:val="44"/>
          <w:szCs w:val="44"/>
        </w:rPr>
        <w:t>标准目录清单</w:t>
      </w:r>
    </w:p>
    <w:p>
      <w:pPr>
        <w:spacing w:line="560" w:lineRule="exact"/>
        <w:jc w:val="center"/>
        <w:rPr>
          <w:rFonts w:ascii="宋体" w:hAnsi="宋体" w:hint="eastAsia"/>
          <w:kern w:val="1"/>
          <w:sz w:val="36"/>
          <w:szCs w:val="36"/>
        </w:rPr>
      </w:pPr>
      <w:r>
        <w:rPr>
          <w:rFonts w:ascii="宋体" w:hAnsi="宋体" w:hint="eastAsia"/>
          <w:kern w:val="1"/>
          <w:sz w:val="36"/>
          <w:szCs w:val="36"/>
        </w:rPr>
      </w:r>
    </w:p>
    <w:tbl>
      <w:tblPr>
        <w:jc w:val="center"/>
        <w:tblW w:w="8616" w:type="dxa"/>
      </w:tblPr>
      <w:tblGrid>
        <w:gridCol w:w="1792"/>
        <w:gridCol w:w="1922"/>
        <w:gridCol w:w="1497"/>
        <w:gridCol w:w="1843"/>
        <w:gridCol w:w="1562"/>
      </w:tblGrid>
      <w:tr>
        <w:trPr>
          <w:trHeight w:val="360" w:hRule="atLeast"/>
        </w:trPr>
        <w:tc>
          <w:tcPr>
            <w:tcW w:w="1792"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hint="eastAsia"/>
              </w:rPr>
              <w:t>机构名称</w:t>
            </w:r>
            <w:r>
              <w:rPr>
                <w:rFonts w:ascii="仿宋_GB2312" w:hAnsi="仿宋_GB2312" w:eastAsia="仿宋_GB2312" w:cs="仿宋"/>
              </w:rPr>
            </w:r>
          </w:p>
        </w:tc>
        <w:tc>
          <w:tcPr>
            <w:tcW w:w="6824" w:type="dxa"/>
            <w:gridSpan w:val="4"/>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widowControl w:val="0"/>
              <w:rPr>
                <w:rFonts w:ascii="仿宋_GB2312" w:hAnsi="仿宋_GB2312" w:eastAsia="仿宋_GB2312" w:cs="仿宋"/>
              </w:rPr>
            </w:pPr>
            <w:r>
              <w:rPr>
                <w:rFonts w:ascii="仿宋_GB2312" w:hAnsi="仿宋_GB2312" w:eastAsia="仿宋_GB2312" w:hint="eastAsia"/>
              </w:rPr>
              <w:t xml:space="preserve">　</w:t>
            </w:r>
            <w:r>
              <w:rPr>
                <w:rFonts w:ascii="仿宋_GB2312" w:hAnsi="仿宋_GB2312" w:eastAsia="仿宋_GB2312" w:cs="仿宋"/>
              </w:rPr>
            </w:r>
          </w:p>
        </w:tc>
      </w:tr>
      <w:tr>
        <w:trPr>
          <w:trHeight w:val="360" w:hRule="atLeast"/>
        </w:trPr>
        <w:tc>
          <w:tcPr>
            <w:tcW w:w="8616" w:type="dxa"/>
            <w:gridSpan w:val="5"/>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hint="eastAsia"/>
              </w:rPr>
              <w:t>申请开展职业技能等级认定的职业（工种）</w:t>
            </w:r>
            <w:r>
              <w:rPr>
                <w:rFonts w:ascii="仿宋_GB2312" w:hAnsi="仿宋_GB2312" w:eastAsia="仿宋_GB2312" w:cs="仿宋"/>
              </w:rPr>
            </w:r>
          </w:p>
        </w:tc>
      </w:tr>
      <w:tr>
        <w:trPr>
          <w:trHeight w:val="360" w:hRule="atLeast"/>
        </w:trPr>
        <w:tc>
          <w:tcPr>
            <w:tcW w:w="1792"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hint="eastAsia"/>
              </w:rPr>
              <w:t>职业名称</w:t>
            </w:r>
            <w:r>
              <w:rPr>
                <w:rFonts w:ascii="仿宋_GB2312" w:hAnsi="仿宋_GB2312" w:eastAsia="仿宋_GB2312" w:cs="仿宋"/>
              </w:rPr>
            </w:r>
          </w:p>
        </w:tc>
        <w:tc>
          <w:tcPr>
            <w:tcW w:w="1922"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hint="eastAsia"/>
              </w:rPr>
              <w:t>职业编码</w:t>
            </w:r>
            <w:r>
              <w:rPr>
                <w:rFonts w:ascii="仿宋_GB2312" w:hAnsi="仿宋_GB2312" w:eastAsia="仿宋_GB2312" w:cs="仿宋"/>
              </w:rPr>
            </w:r>
          </w:p>
        </w:tc>
        <w:tc>
          <w:tcPr>
            <w:tcW w:w="1497"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hint="eastAsia"/>
              </w:rPr>
              <w:t>工种名称</w:t>
            </w:r>
            <w:r>
              <w:rPr>
                <w:rFonts w:ascii="仿宋_GB2312" w:hAnsi="仿宋_GB2312" w:eastAsia="仿宋_GB2312" w:cs="仿宋"/>
              </w:rPr>
            </w:r>
          </w:p>
        </w:tc>
        <w:tc>
          <w:tcPr>
            <w:tcW w:w="1843"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hint="eastAsia"/>
              </w:rPr>
              <w:t>级别</w:t>
            </w:r>
            <w:r>
              <w:rPr>
                <w:rFonts w:ascii="仿宋_GB2312" w:hAnsi="仿宋_GB2312" w:eastAsia="仿宋_GB2312" w:cs="仿宋"/>
              </w:rPr>
            </w:r>
          </w:p>
        </w:tc>
        <w:tc>
          <w:tcPr>
            <w:tcW w:w="1562" w:type="dxa"/>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hint="eastAsia"/>
              </w:rPr>
              <w:t>标准</w:t>
            </w:r>
            <w:r>
              <w:rPr>
                <w:rFonts w:ascii="仿宋_GB2312" w:hAnsi="仿宋_GB2312" w:eastAsia="仿宋_GB2312" w:cs="仿宋"/>
              </w:rPr>
            </w:r>
          </w:p>
        </w:tc>
      </w:tr>
      <w:tr>
        <w:trPr>
          <w:trHeight w:val="360" w:hRule="atLeast"/>
        </w:trPr>
        <w:tc>
          <w:tcPr>
            <w:tcW w:w="17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hint="eastAsia"/>
              </w:rPr>
            </w:pPr>
            <w:r>
              <w:rPr>
                <w:rFonts w:ascii="仿宋_GB2312" w:hAnsi="仿宋_GB2312" w:eastAsia="仿宋_GB2312" w:hint="eastAsia"/>
              </w:rPr>
              <w:t>车工</w:t>
            </w:r>
          </w:p>
          <w:p>
            <w:pPr>
              <w:pStyle w:val="p0"/>
              <w:spacing w:line="560" w:lineRule="exact"/>
              <w:jc w:val="center"/>
              <w:widowControl w:val="0"/>
              <w:rPr>
                <w:rFonts w:ascii="仿宋_GB2312" w:hAnsi="仿宋_GB2312" w:eastAsia="仿宋_GB2312" w:cs="仿宋"/>
              </w:rPr>
            </w:pPr>
            <w:r>
              <w:rPr>
                <w:rFonts w:ascii="仿宋_GB2312" w:hAnsi="仿宋_GB2312" w:eastAsia="仿宋_GB2312" w:hint="eastAsia"/>
              </w:rPr>
              <w:t>（示例）</w:t>
            </w:r>
            <w:r>
              <w:rPr>
                <w:rFonts w:ascii="仿宋_GB2312" w:hAnsi="仿宋_GB2312" w:eastAsia="仿宋_GB2312" w:cs="仿宋"/>
              </w:rPr>
            </w:r>
          </w:p>
        </w:tc>
        <w:tc>
          <w:tcPr>
            <w:tcW w:w="192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rPr>
            </w:pPr>
            <w:r>
              <w:rPr>
                <w:rFonts w:ascii="仿宋_GB2312" w:hAnsi="仿宋_GB2312" w:eastAsia="仿宋_GB2312" w:hint="eastAsia"/>
              </w:rPr>
              <w:t>6-18-01-01</w:t>
            </w:r>
            <w:r>
              <w:rPr>
                <w:rFonts w:ascii="仿宋_GB2312" w:hAnsi="仿宋_GB2312" w:eastAsia="仿宋_GB2312"/>
              </w:rPr>
            </w:r>
          </w:p>
        </w:tc>
        <w:tc>
          <w:tcPr>
            <w:tcW w:w="14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hint="eastAsia"/>
              </w:rPr>
              <w:t>数控车工</w:t>
            </w:r>
            <w:r>
              <w:rPr>
                <w:rFonts w:ascii="仿宋_GB2312" w:hAnsi="仿宋_GB2312" w:eastAsia="仿宋_GB2312" w:cs="仿宋"/>
              </w:rPr>
            </w:r>
          </w:p>
        </w:tc>
        <w:tc>
          <w:tcPr>
            <w:tcW w:w="184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rPr>
            </w:pPr>
            <w:r>
              <w:rPr>
                <w:rFonts w:ascii="仿宋_GB2312" w:hAnsi="仿宋_GB2312" w:eastAsia="仿宋_GB2312" w:hint="eastAsia"/>
              </w:rPr>
              <w:t>5、4、3</w:t>
            </w:r>
            <w:r>
              <w:rPr>
                <w:rFonts w:ascii="仿宋_GB2312" w:hAnsi="仿宋_GB2312" w:eastAsia="仿宋_GB2312"/>
              </w:rPr>
            </w:r>
          </w:p>
        </w:tc>
        <w:tc>
          <w:tcPr>
            <w:tcW w:w="156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hint="eastAsia"/>
              </w:rPr>
              <w:t>国家标准</w:t>
            </w:r>
            <w:r>
              <w:rPr>
                <w:rFonts w:ascii="仿宋_GB2312" w:hAnsi="仿宋_GB2312" w:eastAsia="仿宋_GB2312" w:cs="仿宋"/>
              </w:rPr>
            </w:r>
          </w:p>
        </w:tc>
      </w:tr>
      <w:tr>
        <w:trPr>
          <w:trHeight w:val="360" w:hRule="atLeast"/>
        </w:trPr>
        <w:tc>
          <w:tcPr>
            <w:tcW w:w="17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cs="仿宋"/>
              </w:rPr>
            </w:r>
          </w:p>
        </w:tc>
        <w:tc>
          <w:tcPr>
            <w:tcW w:w="192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cs="仿宋"/>
              </w:rPr>
            </w:r>
          </w:p>
        </w:tc>
        <w:tc>
          <w:tcPr>
            <w:tcW w:w="14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cs="仿宋"/>
              </w:rPr>
            </w:r>
          </w:p>
        </w:tc>
        <w:tc>
          <w:tcPr>
            <w:tcW w:w="184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cs="仿宋"/>
              </w:rPr>
            </w:r>
          </w:p>
        </w:tc>
        <w:tc>
          <w:tcPr>
            <w:tcW w:w="156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cs="仿宋"/>
              </w:rPr>
            </w:r>
          </w:p>
        </w:tc>
      </w:tr>
      <w:tr>
        <w:trPr>
          <w:trHeight w:val="360" w:hRule="atLeast"/>
        </w:trPr>
        <w:tc>
          <w:tcPr>
            <w:tcW w:w="179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cs="仿宋"/>
              </w:rPr>
            </w:r>
          </w:p>
        </w:tc>
        <w:tc>
          <w:tcPr>
            <w:tcW w:w="192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cs="仿宋"/>
              </w:rPr>
            </w:r>
          </w:p>
        </w:tc>
        <w:tc>
          <w:tcPr>
            <w:tcW w:w="1497"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cs="仿宋"/>
              </w:rPr>
            </w:r>
          </w:p>
        </w:tc>
        <w:tc>
          <w:tcPr>
            <w:tcW w:w="1843"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cs="仿宋"/>
              </w:rPr>
            </w:r>
          </w:p>
        </w:tc>
        <w:tc>
          <w:tcPr>
            <w:tcW w:w="1562"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pStyle w:val="p0"/>
              <w:spacing w:line="560" w:lineRule="exact"/>
              <w:jc w:val="center"/>
              <w:widowControl w:val="0"/>
              <w:rPr>
                <w:rFonts w:ascii="仿宋_GB2312" w:hAnsi="仿宋_GB2312" w:eastAsia="仿宋_GB2312" w:cs="仿宋"/>
              </w:rPr>
            </w:pPr>
            <w:r>
              <w:rPr>
                <w:rFonts w:ascii="仿宋_GB2312" w:hAnsi="仿宋_GB2312" w:eastAsia="仿宋_GB2312" w:cs="仿宋"/>
              </w:rPr>
            </w:r>
          </w:p>
        </w:tc>
      </w:tr>
    </w:tbl>
    <w:p>
      <w:pPr>
        <w:pStyle w:val="p0"/>
        <w:ind w:firstLine="632"/>
        <w:spacing w:line="560" w:lineRule="exact"/>
        <w:widowControl w:val="0"/>
        <w:rPr>
          <w:rFonts w:ascii="仿宋_GB2312" w:hAnsi="仿宋_GB2312" w:eastAsia="仿宋_GB2312" w:cs="仿宋" w:hint="eastAsia"/>
        </w:rPr>
      </w:pPr>
      <w:r>
        <w:rPr>
          <w:rFonts w:ascii="仿宋_GB2312" w:hAnsi="仿宋_GB2312" w:eastAsia="仿宋_GB2312" w:hint="eastAsia"/>
        </w:rPr>
        <w:t>备注：1.职业编码采用《中华人民共和国职业分类大典》（2015年版）中职业对应的编码；</w:t>
      </w:r>
      <w:r>
        <w:rPr>
          <w:rFonts w:ascii="仿宋_GB2312" w:hAnsi="仿宋_GB2312" w:eastAsia="仿宋_GB2312" w:cs="仿宋" w:hint="eastAsia"/>
        </w:rPr>
      </w:r>
    </w:p>
    <w:p>
      <w:pPr>
        <w:pStyle w:val="p0"/>
        <w:ind w:firstLine="632"/>
        <w:spacing w:line="560" w:lineRule="exact"/>
        <w:widowControl w:val="0"/>
        <w:rPr>
          <w:rFonts w:ascii="仿宋_GB2312" w:hAnsi="仿宋_GB2312" w:eastAsia="仿宋_GB2312" w:cs="仿宋" w:hint="eastAsia"/>
          <w:vertAlign w:val="subscript"/>
        </w:rPr>
      </w:pPr>
      <w:r>
        <w:rPr>
          <w:rFonts w:ascii="仿宋_GB2312" w:hAnsi="仿宋_GB2312" w:eastAsia="仿宋_GB2312" w:hint="eastAsia"/>
        </w:rPr>
        <w:t>2.职业下设工种的，原则上需填报工种，工种名称以《中华人民共和国职业分类大典》（2015年版）和最新颁布的国家职业技能标准中所列为准；</w:t>
      </w:r>
      <w:r>
        <w:rPr>
          <w:rFonts w:ascii="仿宋_GB2312" w:hAnsi="仿宋_GB2312" w:eastAsia="仿宋_GB2312" w:cs="仿宋" w:hint="eastAsia"/>
          <w:vertAlign w:val="subscript"/>
        </w:rPr>
      </w:r>
    </w:p>
    <w:p>
      <w:pPr>
        <w:pStyle w:val="p0"/>
        <w:ind w:firstLine="632"/>
        <w:spacing w:line="560" w:lineRule="exact"/>
        <w:widowControl w:val="0"/>
        <w:rPr>
          <w:rFonts w:ascii="仿宋_GB2312" w:hAnsi="仿宋_GB2312" w:eastAsia="仿宋_GB2312" w:cs="仿宋" w:hint="eastAsia"/>
        </w:rPr>
      </w:pPr>
      <w:r>
        <w:rPr>
          <w:rFonts w:ascii="仿宋_GB2312" w:hAnsi="仿宋_GB2312" w:eastAsia="仿宋_GB2312" w:hint="eastAsia"/>
        </w:rPr>
        <w:t>3.级别用阿拉伯数字表示，级别之间用“、”分隔，如“5、4、3”，以最新颁布的国家职业技能标准中设置的级别为准；</w:t>
      </w:r>
      <w:r>
        <w:rPr>
          <w:rFonts w:ascii="仿宋_GB2312" w:hAnsi="仿宋_GB2312" w:eastAsia="仿宋_GB2312" w:cs="仿宋" w:hint="eastAsia"/>
        </w:rPr>
      </w:r>
    </w:p>
    <w:p>
      <w:pPr>
        <w:pStyle w:val="p0"/>
        <w:ind w:firstLine="632"/>
        <w:spacing w:line="560" w:lineRule="exact"/>
        <w:widowControl w:val="0"/>
        <w:rPr>
          <w:rFonts w:ascii="仿宋_GB2312" w:hAnsi="仿宋_GB2312" w:eastAsia="仿宋_GB2312" w:cs="仿宋" w:hint="eastAsia"/>
        </w:rPr>
      </w:pPr>
      <w:r>
        <w:rPr>
          <w:rFonts w:ascii="仿宋_GB2312" w:hAnsi="仿宋_GB2312" w:eastAsia="仿宋_GB2312" w:hint="eastAsia"/>
        </w:rPr>
        <w:t>4.标准栏请填写正在使用的标准类型，如国家标准、经备案的评价规范。</w:t>
      </w:r>
      <w:r>
        <w:rPr>
          <w:rFonts w:ascii="仿宋_GB2312" w:hAnsi="仿宋_GB2312" w:eastAsia="仿宋_GB2312" w:cs="仿宋" w:hint="eastAsia"/>
        </w:rPr>
      </w:r>
    </w:p>
    <w:p>
      <w:pPr>
        <w:spacing w:line="560" w:lineRule="exact"/>
        <w:rPr>
          <w:rFonts w:ascii="仿宋" w:hAnsi="仿宋" w:eastAsia="仿宋" w:cs="仿宋" w:hint="eastAsia"/>
          <w:kern w:val="1"/>
        </w:rPr>
      </w:pPr>
      <w:r>
        <w:rPr>
          <w:rFonts w:ascii="仿宋" w:hAnsi="仿宋" w:eastAsia="仿宋" w:cs="仿宋" w:hint="eastAsia"/>
          <w:kern w:val="1"/>
        </w:rPr>
      </w:r>
    </w:p>
    <w:p>
      <w:pPr>
        <w:spacing w:line="400" w:lineRule="exact"/>
        <w:rPr>
          <w:rFonts w:ascii="仿宋_GB2312" w:hAnsi="仿宋_GB2312" w:eastAsia="仿宋_GB2312" w:hint="eastAsia"/>
          <w:spacing w:val="-10"/>
          <w:kern w:val="1"/>
          <w:sz w:val="28"/>
          <w:szCs w:val="28"/>
        </w:rPr>
      </w:pPr>
      <w:r>
        <w:rPr>
          <w:rFonts w:ascii="仿宋_GB2312" w:hAnsi="仿宋_GB2312" w:eastAsia="仿宋_GB2312" w:hint="eastAsia"/>
          <w:spacing w:val="-10"/>
          <w:kern w:val="1"/>
          <w:sz w:val="28"/>
          <w:szCs w:val="28"/>
        </w:rPr>
      </w:r>
    </w:p>
    <w:p>
      <w:pPr>
        <w:ind w:firstLine="632"/>
        <w:rPr>
          <w:rFonts w:ascii="仿宋_GB2312" w:hAnsi="仿宋_GB2312" w:eastAsia="仿宋_GB2312" w:cs="黑体"/>
          <w:kern w:val="1"/>
        </w:rPr>
      </w:pPr>
      <w:r>
        <w:rPr>
          <w:rFonts w:ascii="仿宋_GB2312" w:hAnsi="仿宋_GB2312" w:eastAsia="仿宋_GB2312" w:cs="黑体"/>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kern w:val="1"/>
        </w:rPr>
      </w:pPr>
      <w:r>
        <w:rPr>
          <w:kern w:val="1"/>
        </w:rPr>
      </w:r>
    </w:p>
    <w:p>
      <w:pPr>
        <w:rPr>
          <w:rFonts w:ascii="仿宋_GB2312" w:hAnsi="仿宋_GB2312" w:eastAsia="仿宋_GB2312" w:hint="eastAsia"/>
          <w:kern w:val="1"/>
        </w:rPr>
      </w:pPr>
      <w:r>
        <w:rPr>
          <w:rFonts w:ascii="仿宋_GB2312" w:hAnsi="仿宋_GB2312" w:eastAsia="仿宋_GB2312" w:hint="eastAsia"/>
          <w:kern w:val="1"/>
        </w:rPr>
      </w:r>
    </w:p>
    <w:p>
      <w:pPr>
        <w:ind w:firstLine="276"/>
        <w:rPr>
          <w:rFonts w:ascii="仿宋_GB2312" w:hAnsi="仿宋_GB2312" w:eastAsia="仿宋_GB2312" w:hint="eastAsia"/>
          <w:kern w:val="1"/>
          <w:sz w:val="28"/>
          <w:szCs w:val="28"/>
        </w:rPr>
      </w:pPr>
      <w:r>
        <w:rPr>
          <w:noProof/>
        </w:rPr>
        <mc:AlternateContent>
          <mc:Choice Requires="wps">
            <w:drawing>
              <wp:anchor distT="0" distB="0" distL="114300" distR="114300" simplePos="0" relativeHeight="251658241" behindDoc="0" locked="0" layoutInCell="0" hidden="0" allowOverlap="1">
                <wp:simplePos x="0" y="0"/>
                <wp:positionH relativeFrom="column">
                  <wp:posOffset>0</wp:posOffset>
                </wp:positionH>
                <wp:positionV relativeFrom="paragraph">
                  <wp:posOffset>374015</wp:posOffset>
                </wp:positionV>
                <wp:extent cx="5615940" cy="0"/>
                <wp:effectExtent l="12700" t="12700" r="12700" b="12700"/>
                <wp:wrapNone/>
                <wp:docPr id="1" name="线条4"/>
                <wp:cNvGraphicFramePr/>
                <a:graphic xmlns:a="http://schemas.openxmlformats.org/drawingml/2006/main">
                  <a:graphicData uri="http://schemas.microsoft.com/office/word/2010/wordprocessingShape">
                    <wps:wsp>
                      <wps:cNvSpPr>
                        <a:extLst>
                          <a:ext uri="smNativeData">
                            <sm:smNativeData xmlns:sm="smo" val="SMDATA_11_UEe+X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QAAAAiAAAAAAAAAAAAAAAAAAAACAAAAAAAAAAAAAAACAAAATQIAAIwiAAAAAAAACwAAAPsFAADDKgAA"/>
                          </a:ext>
                        </a:extLst>
                      </wps:cNvSpPr>
                      <wps:spPr>
                        <a:xfrm>
                          <a:off x="0" y="0"/>
                          <a:ext cx="5615940" cy="0"/>
                        </a:xfrm>
                        <a:prstGeom prst="line">
                          <a:avLst/>
                        </a:prstGeom>
                        <a:solidFill>
                          <a:srgbClr val="FFFFFF"/>
                        </a:solidFill>
                        <a:ln w="12700">
                          <a:solidFill>
                            <a:srgbClr val="000000"/>
                          </a:solidFill>
                        </a:ln>
                      </wps:spPr>
                      <wps:bodyPr spcFirstLastPara="1" vertOverflow="clip" horzOverflow="clip" lIns="91440" tIns="45720" rIns="91440" bIns="45720">
                        <a:noAutofit/>
                      </wps:bodyPr>
                    </wps:wsp>
                  </a:graphicData>
                </a:graphic>
              </wp:anchor>
            </w:drawing>
          </mc:Choice>
          <mc:Fallback>
            <w:pict>
              <v:line id="线条4" o:spid="_x0000_s1026" style="position:absolute;width:442.20pt;height:0.00pt;mso-wrap-distance-left:9.00pt;mso-wrap-distance-top:0.00pt;mso-wrap-distance-right:9.00pt;mso-wrap-distance-bottom:0.00pt;mso-wrap-style:square" from="0.00pt,29.45pt" to="442.20pt,29.45pt" strokeweight="1.00pt" fillcolor="#ffffff" v:ext="SMDATA_11_UEe+X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QAAAAiAAAAAAAAAAAAAAAAAAAACAAAAAAAAAAAAAAACAAAATQIAAIwiAAAAAAAACwAAAPsFAADDKgAA">
                <v:fill color2="#000000" type="solid" angle="180"/>
                <w10:wrap type="none" anchorx="text" anchory="text"/>
              </v:line>
            </w:pict>
          </mc:Fallback>
        </mc:AlternateContent>
      </w:r>
      <w:r>
        <w:rPr>
          <w:noProof/>
        </w:rPr>
        <mc:AlternateContent>
          <mc:Choice Requires="wps">
            <w:drawing>
              <wp:anchor distT="0" distB="0" distL="114300" distR="114300" simplePos="0" relativeHeight="251658242" behindDoc="0" locked="0" layoutInCell="0" hidden="0" allowOverlap="1">
                <wp:simplePos x="0" y="0"/>
                <wp:positionH relativeFrom="column">
                  <wp:posOffset>0</wp:posOffset>
                </wp:positionH>
                <wp:positionV relativeFrom="paragraph">
                  <wp:posOffset>-4445</wp:posOffset>
                </wp:positionV>
                <wp:extent cx="5615940" cy="0"/>
                <wp:effectExtent l="12700" t="12700" r="12700" b="12700"/>
                <wp:wrapNone/>
                <wp:docPr id="2" name="线条3"/>
                <wp:cNvGraphicFramePr/>
                <a:graphic xmlns:a="http://schemas.openxmlformats.org/drawingml/2006/main">
                  <a:graphicData uri="http://schemas.microsoft.com/office/word/2010/wordprocessingShape">
                    <wps:wsp>
                      <wps:cNvSpPr>
                        <a:extLst>
                          <a:ext uri="smNativeData">
                            <sm:smNativeData xmlns:sm="smo" val="SMDATA_11_UEe+X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QAAAAiAAAAAAAAAAAAAAAAAAAACAAAAAAAAAAAAAAACAAAA+f///4wiAAAAAAAACwAAAPsFAABvKAAA"/>
                          </a:ext>
                        </a:extLst>
                      </wps:cNvSpPr>
                      <wps:spPr>
                        <a:xfrm>
                          <a:off x="0" y="0"/>
                          <a:ext cx="5615940" cy="0"/>
                        </a:xfrm>
                        <a:prstGeom prst="line">
                          <a:avLst/>
                        </a:prstGeom>
                        <a:solidFill>
                          <a:srgbClr val="FFFFFF"/>
                        </a:solidFill>
                        <a:ln w="12700">
                          <a:solidFill>
                            <a:srgbClr val="000000"/>
                          </a:solidFill>
                        </a:ln>
                      </wps:spPr>
                      <wps:bodyPr spcFirstLastPara="1" vertOverflow="clip" horzOverflow="clip" lIns="91440" tIns="45720" rIns="91440" bIns="45720">
                        <a:noAutofit/>
                      </wps:bodyPr>
                    </wps:wsp>
                  </a:graphicData>
                </a:graphic>
              </wp:anchor>
            </w:drawing>
          </mc:Choice>
          <mc:Fallback>
            <w:pict>
              <v:line id="线条3" o:spid="_x0000_s1027" style="position:absolute;width:442.20pt;height:0.00pt;mso-wrap-distance-left:9.00pt;mso-wrap-distance-top:0.00pt;mso-wrap-distance-right:9.00pt;mso-wrap-distance-bottom:0.00pt;mso-wrap-style:square" from="0.00pt,-0.35pt" to="442.20pt,-0.35pt" strokeweight="1.00pt" fillcolor="#ffffff" v:ext="SMDATA_11_UEe+X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QAAAAiAAAAAAAAAAAAAAAAAAAACAAAAAAAAAAAAAAACAAAA+f///4wiAAAAAAAACwAAAPsFAABvKAAA">
                <v:fill color2="#000000" type="solid" angle="180"/>
                <w10:wrap type="none" anchorx="text" anchory="text"/>
              </v:line>
            </w:pict>
          </mc:Fallback>
        </mc:AlternateContent>
      </w:r>
      <w:r>
        <w:rPr>
          <w:noProof/>
        </w:rPr>
        <mc:AlternateContent>
          <mc:Choice Requires="wps">
            <w:drawing>
              <wp:anchor distT="0" distB="0" distL="114300" distR="114300" simplePos="0" relativeHeight="251658243" behindDoc="0" locked="0" layoutInCell="0" hidden="0" allowOverlap="1">
                <wp:simplePos x="0" y="0"/>
                <wp:positionH relativeFrom="column">
                  <wp:posOffset>0</wp:posOffset>
                </wp:positionH>
                <wp:positionV relativeFrom="paragraph">
                  <wp:posOffset>1270</wp:posOffset>
                </wp:positionV>
                <wp:extent cx="5615940" cy="0"/>
                <wp:effectExtent l="15875" t="15875" r="15875" b="15875"/>
                <wp:wrapNone/>
                <wp:docPr id="3" name="线条2"/>
                <wp:cNvGraphicFramePr/>
                <a:graphic xmlns:a="http://schemas.openxmlformats.org/drawingml/2006/main">
                  <a:graphicData uri="http://schemas.microsoft.com/office/word/2010/wordprocessingShape">
                    <wps:wsp>
                      <wps:cNvSpPr>
                        <a:extLst>
                          <a:ext uri="smNativeData">
                            <sm:smNativeData xmlns:sm="smo" val="SMDATA_11_UEe+X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Z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QAAAAiAAAAAAAAAAAAAAAAAAAACAAAAAAAAAAAAAAACAAAAAgAAAIwiAAAAAAAACwAAAPsFAAB4KAAA"/>
                          </a:ext>
                        </a:extLst>
                      </wps:cNvSpPr>
                      <wps:spPr>
                        <a:xfrm>
                          <a:off x="0" y="0"/>
                          <a:ext cx="5615940" cy="0"/>
                        </a:xfrm>
                        <a:prstGeom prst="line">
                          <a:avLst/>
                        </a:prstGeom>
                        <a:solidFill>
                          <a:srgbClr val="FFFFFF"/>
                        </a:solidFill>
                        <a:ln w="15875">
                          <a:solidFill>
                            <a:srgbClr val="000000"/>
                          </a:solidFill>
                        </a:ln>
                      </wps:spPr>
                      <wps:bodyPr spcFirstLastPara="1" vertOverflow="clip" horzOverflow="clip" lIns="91440" tIns="45720" rIns="91440" bIns="45720">
                        <a:noAutofit/>
                      </wps:bodyPr>
                    </wps:wsp>
                  </a:graphicData>
                </a:graphic>
              </wp:anchor>
            </w:drawing>
          </mc:Choice>
          <mc:Fallback>
            <w:pict>
              <v:line id="线条2" o:spid="_x0000_s1028" style="position:absolute;width:442.20pt;height:0.00pt;mso-wrap-distance-left:9.00pt;mso-wrap-distance-top:0.00pt;mso-wrap-distance-right:9.00pt;mso-wrap-distance-bottom:0.00pt;mso-wrap-style:square" from="0.00pt,0.10pt" to="442.20pt,0.10pt" strokeweight="1.25pt" fillcolor="#ffffff" v:ext="SMDATA_11_UEe+X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Z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QAAAAiAAAAAAAAAAAAAAAAAAAACAAAAAAAAAAAAAAACAAAAAgAAAIwiAAAAAAAACwAAAPsFAAB4KAAA">
                <v:fill color2="#000000" type="solid" angle="180"/>
                <w10:wrap type="none" anchorx="text" anchory="text"/>
              </v:line>
            </w:pict>
          </mc:Fallback>
        </mc:AlternateContent>
      </w:r>
      <w:r>
        <w:rPr>
          <w:rFonts w:ascii="仿宋_GB2312" w:hAnsi="仿宋_GB2312" w:eastAsia="仿宋_GB2312" w:hint="eastAsia"/>
          <w:kern w:val="1"/>
          <w:sz w:val="28"/>
          <w:szCs w:val="28"/>
        </w:rPr>
        <w:t>山东省人力资源和社会保障厅办公室         2020年5月14日印发</w:t>
      </w:r>
    </w:p>
    <w:p>
      <w:pPr>
        <w:ind w:right="552" w:firstLine="276"/>
        <w:rPr>
          <w:kern w:val="1"/>
        </w:rPr>
      </w:pPr>
      <w:r>
        <w:rPr>
          <w:noProof/>
        </w:rPr>
        <mc:AlternateContent>
          <mc:Choice Requires="wps">
            <w:drawing>
              <wp:anchor distT="0" distB="0" distL="114300" distR="114300" simplePos="0" relativeHeight="251658244" behindDoc="0" locked="0" layoutInCell="0" hidden="0" allowOverlap="1">
                <wp:simplePos x="0" y="0"/>
                <wp:positionH relativeFrom="column">
                  <wp:align>center</wp:align>
                </wp:positionH>
                <wp:positionV relativeFrom="paragraph">
                  <wp:posOffset>351790</wp:posOffset>
                </wp:positionV>
                <wp:extent cx="5615940" cy="0"/>
                <wp:effectExtent l="15875" t="15875" r="15875" b="15875"/>
                <wp:wrapNone/>
                <wp:docPr id="4" name="线条1"/>
                <wp:cNvGraphicFramePr/>
                <a:graphic xmlns:a="http://schemas.openxmlformats.org/drawingml/2006/main">
                  <a:graphicData uri="http://schemas.microsoft.com/office/word/2010/wordprocessingShape">
                    <wps:wsp>
                      <wps:cNvSpPr>
                        <a:extLst>
                          <a:ext uri="smNativeData">
                            <sm:smNativeData xmlns:sm="smo" val="SMDATA_11_UEe+X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Z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gAAAAiAAAAAAAAAAAAAAAIAAAACAAAAAAAAAAAAAAACAAAAKgIAAIwiAAAAAAAACwAAAPsFAADfKwAA"/>
                          </a:ext>
                        </a:extLst>
                      </wps:cNvSpPr>
                      <wps:spPr>
                        <a:xfrm>
                          <a:off x="0" y="0"/>
                          <a:ext cx="5615940" cy="0"/>
                        </a:xfrm>
                        <a:prstGeom prst="line">
                          <a:avLst/>
                        </a:prstGeom>
                        <a:solidFill>
                          <a:srgbClr val="FFFFFF"/>
                        </a:solidFill>
                        <a:ln w="15875">
                          <a:solidFill>
                            <a:srgbClr val="000000"/>
                          </a:solidFill>
                        </a:ln>
                      </wps:spPr>
                      <wps:bodyPr spcFirstLastPara="1" vertOverflow="clip" horzOverflow="clip" lIns="91440" tIns="45720" rIns="91440" bIns="45720">
                        <a:noAutofit/>
                      </wps:bodyPr>
                    </wps:wsp>
                  </a:graphicData>
                </a:graphic>
              </wp:anchor>
            </w:drawing>
          </mc:Choice>
          <mc:Fallback>
            <w:pict>
              <v:line id="线条1" o:spid="_x0000_s1029" style="position:absolute;mso-position-horizontal:center;width:442.20pt;height:0.00pt;mso-wrap-distance-left:9.00pt;mso-wrap-distance-top:0.00pt;mso-wrap-distance-right:9.00pt;mso-wrap-distance-bottom:0.00pt;mso-wrap-style:square" from="0.00pt,27.70pt" to="442.20pt,27.70pt" strokeweight="1.25pt" fillcolor="#ffffff" v:ext="SMDATA_11_UEe+Xh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Z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gAAAAiAAAAAAAAAAAAAAAIAAAACAAAAAAAAAAAAAAACAAAAKgIAAIwiAAAAAAAACwAAAPsFAADfKwAA">
                <v:fill color2="#000000" type="solid" angle="180"/>
                <w10:wrap type="none" anchorx="text" anchory="text"/>
              </v:line>
            </w:pict>
          </mc:Fallback>
        </mc:AlternateContent>
      </w:r>
      <w:r>
        <w:rPr>
          <w:rFonts w:ascii="仿宋_GB2312" w:hAnsi="仿宋_GB2312" w:eastAsia="仿宋_GB2312" w:hint="eastAsia"/>
          <w:kern w:val="1"/>
          <w:sz w:val="28"/>
          <w:szCs w:val="28"/>
        </w:rPr>
        <w:t>校核人：张延体</w:t>
      </w:r>
      <w:r>
        <w:rPr>
          <w:kern w:val="1"/>
        </w:rPr>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type w:val="nextPage"/>
      <w:pgSz w:h="16838" w:w="11906"/>
      <w:pgMar w:left="1531" w:top="2098" w:right="1531" w:bottom="1814" w:footer="1588"/>
      <w:paperSrc w:first="0" w:other="0"/>
      <w:pgNumType w:start="1"/>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宋体">
    <w:panose1 w:val="02010600030101010101"/>
    <w:charset w:val="86"/>
    <w:family w:val="auto"/>
    <w:pitch w:val="default"/>
  </w:font>
  <w:font w:name="Calibri">
    <w:panose1 w:val="020F0502020204030204"/>
    <w:charset w:val="00"/>
    <w:family w:val="swiss"/>
    <w:pitch w:val="default"/>
  </w:font>
  <w:font w:name="方正小标宋简体">
    <w:panose1 w:val="02010601030101010101"/>
    <w:charset w:val="86"/>
    <w:family w:val="script"/>
    <w:pitch w:val="default"/>
  </w:font>
  <w:font w:name="仿宋_GB2312">
    <w:panose1 w:val="02010609030101010101"/>
    <w:charset w:val="86"/>
    <w:family w:val="modern"/>
    <w:pitch w:val="default"/>
  </w:font>
  <w:font w:name="黑体">
    <w:panose1 w:val="02010609060101010101"/>
    <w:charset w:val="86"/>
    <w:family w:val="auto"/>
    <w:pitch w:val="default"/>
  </w:font>
  <w:font w:name="仿宋">
    <w:panose1 w:val="02010609060101010101"/>
    <w:charset w:val="86"/>
    <w:family w:val="modern"/>
    <w:pitch w:val="default"/>
  </w:font>
  <w:font w:name="楷体">
    <w:panose1 w:val="02010609060101010101"/>
    <w:charset w:val="86"/>
    <w:family w:val="modern"/>
    <w:pitch w:val="default"/>
  </w:font>
  <w:font w:name="楷体_GB2312">
    <w:panose1 w:val="02010609030101010101"/>
    <w:charset w:val="86"/>
    <w:family w:val="modern"/>
    <w:pitch w:val="default"/>
  </w:font>
  <w:font w:name="??_GB2312">
    <w:panose1 w:val="020B0604020202020204"/>
    <w:charset w:val="00"/>
    <w:family w:val="auto"/>
    <w:pitch w:val="default"/>
  </w:font>
  <w:font w:name="华文楷体">
    <w:panose1 w:val="020B06040202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
      <w:ind w:right="360" w:firstLine="360"/>
    </w:pPr>
    <w:r>
      <w:rPr>
        <w:noProof/>
      </w:rPr>
      <mc:AlternateContent>
        <mc:Choice Requires="wps">
          <w:drawing>
            <wp:anchor distT="0" distB="0" distL="0" distR="0" simplePos="0" relativeHeight="251659265" behindDoc="0" locked="0" layoutInCell="0" hidden="0" allowOverlap="1">
              <wp:simplePos x="0" y="0"/>
              <wp:positionH relativeFrom="margin">
                <wp:align>outside</wp:align>
              </wp:positionH>
              <wp:positionV relativeFrom="paragraph">
                <wp:posOffset>635</wp:posOffset>
              </wp:positionV>
              <wp:extent cx="1028700" cy="202565"/>
              <wp:effectExtent l="0" t="0" r="0" b="0"/>
              <wp:wrapSquare wrapText="bothSides"/>
              <wp:docPr id="1025" name="文本框1"/>
              <wp:cNvGraphicFramePr/>
              <a:graphic xmlns:a="http://schemas.openxmlformats.org/drawingml/2006/main">
                <a:graphicData uri="http://schemas.microsoft.com/office/word/2010/wordprocessingShape">
                  <wps:wsp>
                    <wps:cNvSpPr txBox="1">
                      <a:extLst>
                        <a:ext uri="smNativeData">
                          <sm:smNativeData xmlns:sm="smo" val="SMDATA_11_UEe+X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MIgAAfjIAAAACAAAJAAAABAAAAAAAAAAMAAAAEAAAAAAAAAAAAAAAAAAAAAAAAAAeAAAAaAAAAAAAAAAAAAAAAAAAAAAAAAAAAAAAECcAABAnAAAAAAAAAAAAAAAAAAAAAAAAAAAAAAAAAAAAAAAAAAAAABQAAAAAAAAAwMD/AAAAAABkAAAAMgAAAAAAAABkAAAAAAAAAH9/fwAKAAAAIQAAAEAAAAA8AAAAAAAAAJDiAABAAAAAAAAAAAUAAAABAAAAAAAAAAAAAAACAAAAAQAAAFQGAAA/AQAAAAAAADMiAADEOgAA"/>
                        </a:ext>
                      </a:extLst>
                    </wps:cNvSpPr>
                    <wps:spPr>
                      <a:xfrm>
                        <a:off x="0" y="0"/>
                        <a:ext cx="1028700" cy="202565"/>
                      </a:xfrm>
                      <a:prstGeom prst="rect">
                        <a:avLst/>
                      </a:prstGeom>
                      <a:noFill/>
                      <a:ln w="12700">
                        <a:noFill/>
                      </a:ln>
                    </wps:spPr>
                    <wps:txbx>
                      <w:txbxContent>
                        <w:p>
                          <w:pPr>
                            <w:pStyle w:val=""/>
                            <w:ind w:left="320" w:right="320"/>
                            <w:rPr>
                              <w:rStyle w:val=""/>
                              <w:rFonts w:ascii="宋体" w:hAnsi="宋体" w:cs="宋体" w:hint="eastAsia"/>
                              <w:sz w:val="28"/>
                              <w:szCs w:val="28"/>
                            </w:rPr>
                          </w:pPr>
                          <w:r>
                            <w:rPr>
                              <w:rStyle w:val=""/>
                              <w:rFonts w:ascii="宋体" w:hAnsi="宋体" w:cs="宋体" w:hint="eastAsia"/>
                              <w:sz w:val="28"/>
                              <w:szCs w:val="28"/>
                            </w:rPr>
                            <w:t xml:space="preserve">— </w:t>
                          </w:r>
                          <w:r>
                            <w:rPr>
                              <w:rStyle w:val=""/>
                              <w:rFonts w:ascii="宋体" w:hAnsi="宋体" w:cs="宋体"/>
                              <w:sz w:val="28"/>
                              <w:szCs w:val="28"/>
                            </w:rPr>
                          </w:r>
                          <w:r>
                            <w:rPr>
                              <w:rStyle w:val=""/>
                              <w:rFonts w:ascii="宋体" w:hAnsi="宋体" w:cs="宋体"/>
                              <w:sz w:val="28"/>
                              <w:szCs w:val="28"/>
                            </w:rPr>
                            <w:fldChar w:fldCharType="begin"/>
                            <w:instrText xml:space="preserve"> PAGE \* Arabic </w:instrText>
                            <w:fldChar w:fldCharType="separate"/>
                            <w:t>1</w:t>
                            <w:fldChar w:fldCharType="end"/>
                          </w:r>
                          <w:r>
                            <w:rPr>
                              <w:rStyle w:val=""/>
                              <w:rFonts w:ascii="宋体" w:hAnsi="宋体" w:cs="宋体" w:hint="eastAsia"/>
                              <w:sz w:val="28"/>
                              <w:szCs w:val="28"/>
                            </w:rPr>
                            <w:t xml:space="preserve"> —</w:t>
                          </w:r>
                        </w:p>
                      </w:txbxContent>
                    </wps:txbx>
                    <wps:bodyPr spcFirstLastPara="1" vertOverflow="clip" horzOverflow="clip" wrap="none" lIns="0" tIns="0" rIns="0" bIns="0">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文本框1" o:spid="_x0000_s3073" type="#_x0000_t202" style="position:absolute;mso-position-horizontal:outside;margin-top:0.05pt;mso-position-horizontal-relative:margin;width:81.00pt;height:15.95pt;mso-wrap-distance-left:0.00pt;mso-wrap-distance-top:0.00pt;mso-wrap-distance-right:0.00pt;mso-wrap-distance-bottom:0.00pt;mso-wrap-style:none" stroked="f" filled="f" v:ext="SMDATA_11_UEe+Xh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MIgAAfjIAAAACAAAJAAAABAAAAAAAAAAMAAAAEAAAAAAAAAAAAAAAAAAAAAAAAAAeAAAAaAAAAAAAAAAAAAAAAAAAAAAAAAAAAAAAECcAABAnAAAAAAAAAAAAAAAAAAAAAAAAAAAAAAAAAAAAAAAAAAAAABQAAAAAAAAAwMD/AAAAAABkAAAAMgAAAAAAAABkAAAAAAAAAH9/fwAKAAAAIQAAAEAAAAA8AAAAAAAAAJDiAABAAAAAAAAAAAUAAAABAAAAAAAAAAAAAAACAAAAAQAAAFQGAAA/AQAAAAAAADMiAADEOgAA" o:insetmode="custom">
              <w10:wrap type="square" anchorx="margin" anchory="text"/>
              <v:textbox style="mso-fit-shape-to-text:t" inset="0.0pt,0.0pt,0.0pt,0.0pt">
                <w:txbxContent>
                  <w:p>
                    <w:pPr>
                      <w:pStyle w:val=""/>
                      <w:ind w:left="320" w:right="320"/>
                      <w:rPr>
                        <w:rStyle w:val=""/>
                        <w:rFonts w:ascii="宋体" w:hAnsi="宋体" w:cs="宋体" w:hint="eastAsia"/>
                        <w:sz w:val="28"/>
                        <w:szCs w:val="28"/>
                      </w:rPr>
                    </w:pPr>
                    <w:r>
                      <w:rPr>
                        <w:rStyle w:val=""/>
                        <w:rFonts w:ascii="宋体" w:hAnsi="宋体" w:cs="宋体" w:hint="eastAsia"/>
                        <w:sz w:val="28"/>
                        <w:szCs w:val="28"/>
                      </w:rPr>
                      <w:t xml:space="preserve">— </w:t>
                    </w:r>
                    <w:r>
                      <w:rPr>
                        <w:rStyle w:val=""/>
                        <w:rFonts w:ascii="宋体" w:hAnsi="宋体" w:cs="宋体"/>
                        <w:sz w:val="28"/>
                        <w:szCs w:val="28"/>
                      </w:rPr>
                    </w:r>
                    <w:r>
                      <w:rPr>
                        <w:rStyle w:val=""/>
                        <w:rFonts w:ascii="宋体" w:hAnsi="宋体" w:cs="宋体"/>
                        <w:sz w:val="28"/>
                        <w:szCs w:val="28"/>
                      </w:rPr>
                      <w:fldChar w:fldCharType="begin"/>
                      <w:instrText xml:space="preserve"> PAGE \* Arabic </w:instrText>
                      <w:fldChar w:fldCharType="separate"/>
                      <w:t>1</w:t>
                      <w:fldChar w:fldCharType="end"/>
                    </w:r>
                    <w:r>
                      <w:rPr>
                        <w:rStyle w:val=""/>
                        <w:rFonts w:ascii="宋体" w:hAnsi="宋体" w:cs="宋体" w:hint="eastAsia"/>
                        <w:sz w:val="28"/>
                        <w:szCs w:val="28"/>
                      </w:rPr>
                      <w:t xml:space="preserve"> —</w:t>
                    </w:r>
                  </w:p>
                </w:txbxContent>
              </v:textbox>
            </v:shape>
          </w:pict>
        </mc:Fallback>
      </mc:AlternateContent>
    </w:r>
    <w:r>
      <w:rPr>
        <w:rStyle w:val=""/>
        <w:rFonts w:ascii="宋体" w:hAnsi="宋体" w:cs="宋体" w:hint="eastAsia"/>
        <w:sz w:val="28"/>
        <w:szCs w:val="28"/>
      </w:r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multilevel"/>
    <w:name w:val="编号列表 1"/>
    <w:lvl w:ilvl="0">
      <w:start w:val="3"/>
      <w:numFmt w:val="japaneseCounting"/>
      <w:suff w:val="tab"/>
      <w:lvlText w:val="%1、"/>
      <w:lvlJc w:val="left"/>
      <w:pPr>
        <w:ind w:left="640" w:hanging="0"/>
      </w:pPr>
      <w:rPr>
        <w:rPr>
          <w:color w:val="000000"/>
        </w:rPr>
      </w:rPr>
    </w:lvl>
    <w:lvl w:ilvl="1">
      <w:start w:val="1"/>
      <w:numFmt w:val="lowerLetter"/>
      <w:suff w:val="tab"/>
      <w:lvlText w:val="%2)"/>
      <w:lvlJc w:val="left"/>
      <w:pPr>
        <w:ind w:left="1060" w:hanging="0"/>
      </w:pPr>
      <w:rPr/>
    </w:lvl>
    <w:lvl w:ilvl="2">
      <w:start w:val="1"/>
      <w:numFmt w:val="lowerRoman"/>
      <w:suff w:val="tab"/>
      <w:lvlText w:val="%3."/>
      <w:lvlJc w:val="left"/>
      <w:pPr>
        <w:ind w:left="1480" w:hanging="0"/>
      </w:pPr>
      <w:rPr/>
    </w:lvl>
    <w:lvl w:ilvl="3">
      <w:start w:val="1"/>
      <w:numFmt w:val="decimal"/>
      <w:suff w:val="tab"/>
      <w:lvlText w:val="%4."/>
      <w:lvlJc w:val="left"/>
      <w:pPr>
        <w:ind w:left="1900" w:hanging="0"/>
      </w:pPr>
      <w:rPr/>
    </w:lvl>
    <w:lvl w:ilvl="4">
      <w:start w:val="1"/>
      <w:numFmt w:val="lowerLetter"/>
      <w:suff w:val="tab"/>
      <w:lvlText w:val="%5)"/>
      <w:lvlJc w:val="left"/>
      <w:pPr>
        <w:ind w:left="2320" w:hanging="0"/>
      </w:pPr>
      <w:rPr/>
    </w:lvl>
    <w:lvl w:ilvl="5">
      <w:start w:val="1"/>
      <w:numFmt w:val="lowerRoman"/>
      <w:suff w:val="tab"/>
      <w:lvlText w:val="%6."/>
      <w:lvlJc w:val="left"/>
      <w:pPr>
        <w:ind w:left="2740" w:hanging="0"/>
      </w:pPr>
      <w:rPr/>
    </w:lvl>
    <w:lvl w:ilvl="6">
      <w:start w:val="1"/>
      <w:numFmt w:val="decimal"/>
      <w:suff w:val="tab"/>
      <w:lvlText w:val="%7."/>
      <w:lvlJc w:val="left"/>
      <w:pPr>
        <w:ind w:left="3160" w:hanging="0"/>
      </w:pPr>
      <w:rPr/>
    </w:lvl>
    <w:lvl w:ilvl="7">
      <w:start w:val="1"/>
      <w:numFmt w:val="lowerLetter"/>
      <w:suff w:val="tab"/>
      <w:lvlText w:val="%8)"/>
      <w:lvlJc w:val="left"/>
      <w:pPr>
        <w:ind w:left="3580" w:hanging="0"/>
      </w:pPr>
      <w:rPr/>
    </w:lvl>
    <w:lvl w:ilvl="8">
      <w:start w:val="1"/>
      <w:numFmt w:val="lowerRoman"/>
      <w:suff w:val="tab"/>
      <w:lvlText w:val="%9."/>
      <w:lvlJc w:val="left"/>
      <w:pPr>
        <w:ind w:left="4000" w:hanging="0"/>
      </w:pPr>
      <w:rPr/>
    </w:lvl>
  </w:abstractNum>
  <w:abstractNum w:abstractNumId="2">
    <w:multiLevelType w:val="singleLevel"/>
    <w:name w:val="Bullet 2"/>
    <w:lvl w:ilvl="0">
      <w:start w:val="3"/>
      <w:numFmt w:val="japaneseCounting"/>
      <w:lvlText w:val="%1"/>
      <w:lvlJc w:val="left"/>
      <w:pPr>
        <w:tabs>
          <w:tab w:val="num" w:pos="0"/>
        </w:tabs>
        <w:ind w:left="0" w:hanging="0"/>
      </w:pPr>
      <w:rPr>
        <w:rPr>
          <w:color w:val="000000"/>
        </w:rPr>
      </w:rPr>
    </w:lvl>
  </w:abstractNum>
  <w:abstractNum w:abstractNumId="3">
    <w:multiLevelType w:val="singleLevel"/>
    <w:name w:val="Bullet 3"/>
    <w:lvl w:ilvl="0">
      <w:start w:val="1"/>
      <w:numFmt w:val="lowerLetter"/>
      <w:lvlText w:val="%1"/>
      <w:lvlJc w:val="left"/>
      <w:pPr>
        <w:tabs>
          <w:tab w:val="num" w:pos="0"/>
        </w:tabs>
        <w:ind w:left="0" w:hanging="0"/>
      </w:pPr>
      <w:rPr/>
    </w:lvl>
  </w:abstractNum>
  <w:abstractNum w:abstractNumId="4">
    <w:multiLevelType w:val="singleLevel"/>
    <w:name w:val="Bullet 4"/>
    <w:lvl w:ilvl="0">
      <w:start w:val="1"/>
      <w:numFmt w:val="lowerRoman"/>
      <w:lvlText w:val="%1"/>
      <w:lvlJc w:val="left"/>
      <w:pPr>
        <w:tabs>
          <w:tab w:val="num" w:pos="0"/>
        </w:tabs>
        <w:ind w:left="0" w:hanging="0"/>
      </w:pPr>
      <w:rPr/>
    </w:lvl>
  </w:abstractNum>
  <w:abstractNum w:abstractNumId="5">
    <w:multiLevelType w:val="singleLevel"/>
    <w:name w:val="Bullet 5"/>
    <w:lvl w:ilvl="0">
      <w:start w:val="1"/>
      <w:numFmt w:val="decimal"/>
      <w:lvlText w:val="%1"/>
      <w:lvlJc w:val="left"/>
      <w:pPr>
        <w:tabs>
          <w:tab w:val="num" w:pos="0"/>
        </w:tabs>
        <w:ind w:left="0" w:hanging="0"/>
      </w:pPr>
      <w:rPr/>
    </w:lvl>
  </w:abstractNum>
  <w:abstractNum w:abstractNumId="6">
    <w:multiLevelType w:val="multilevel"/>
    <w:lvl w:ilvl="0">
      <w:start w:val="3"/>
      <w:numFmt w:val="japaneseCounting"/>
      <w:suff w:val="tab"/>
      <w:lvlText w:val="%1、"/>
      <w:lvlJc w:val="left"/>
      <w:pPr>
        <w:ind w:left="640" w:hanging="0"/>
      </w:pPr>
      <w:rPr>
        <w:rPr>
          <w:color w:val="000000"/>
        </w:rPr>
      </w:rPr>
    </w:lvl>
    <w:lvl w:ilvl="1">
      <w:start w:val="1"/>
      <w:numFmt w:val="lowerLetter"/>
      <w:suff w:val="tab"/>
      <w:lvlText w:val="%2)"/>
      <w:lvlJc w:val="left"/>
      <w:pPr>
        <w:ind w:left="1060" w:hanging="0"/>
      </w:pPr>
      <w:rPr/>
    </w:lvl>
    <w:lvl w:ilvl="2">
      <w:start w:val="1"/>
      <w:numFmt w:val="lowerRoman"/>
      <w:suff w:val="tab"/>
      <w:lvlText w:val="%3."/>
      <w:lvlJc w:val="left"/>
      <w:pPr>
        <w:ind w:left="1480" w:hanging="0"/>
      </w:pPr>
      <w:rPr/>
    </w:lvl>
    <w:lvl w:ilvl="3">
      <w:start w:val="1"/>
      <w:numFmt w:val="decimal"/>
      <w:suff w:val="tab"/>
      <w:lvlText w:val="%4."/>
      <w:lvlJc w:val="left"/>
      <w:pPr>
        <w:ind w:left="1900" w:hanging="0"/>
      </w:pPr>
      <w:rPr/>
    </w:lvl>
    <w:lvl w:ilvl="4">
      <w:start w:val="1"/>
      <w:numFmt w:val="lowerLetter"/>
      <w:suff w:val="tab"/>
      <w:lvlText w:val="%5)"/>
      <w:lvlJc w:val="left"/>
      <w:pPr>
        <w:ind w:left="2320" w:hanging="0"/>
      </w:pPr>
      <w:rPr/>
    </w:lvl>
    <w:lvl w:ilvl="5">
      <w:start w:val="1"/>
      <w:numFmt w:val="lowerRoman"/>
      <w:suff w:val="tab"/>
      <w:lvlText w:val="%6."/>
      <w:lvlJc w:val="left"/>
      <w:pPr>
        <w:ind w:left="2740" w:hanging="0"/>
      </w:pPr>
      <w:rPr/>
    </w:lvl>
    <w:lvl w:ilvl="6">
      <w:start w:val="1"/>
      <w:numFmt w:val="decimal"/>
      <w:suff w:val="tab"/>
      <w:lvlText w:val="%7."/>
      <w:lvlJc w:val="left"/>
      <w:pPr>
        <w:ind w:left="3160" w:hanging="0"/>
      </w:pPr>
      <w:rPr/>
    </w:lvl>
    <w:lvl w:ilvl="7">
      <w:start w:val="1"/>
      <w:numFmt w:val="lowerLetter"/>
      <w:suff w:val="tab"/>
      <w:lvlText w:val="%8)"/>
      <w:lvlJc w:val="left"/>
      <w:pPr>
        <w:ind w:left="3580" w:hanging="0"/>
      </w:pPr>
      <w:rPr/>
    </w:lvl>
    <w:lvl w:ilvl="8">
      <w:start w:val="1"/>
      <w:numFmt w:val="lowerRoman"/>
      <w:suff w:val="tab"/>
      <w:lvlText w:val="%9."/>
      <w:lvlJc w:val="left"/>
      <w:pPr>
        <w:ind w:left="4000" w:hanging="0"/>
      </w:pPr>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3074"/>
    <o:shapelayout v:ext="edit">
      <o:rules v:ext="edit"/>
    </o:shapelayout>
  </w:shapeDefaults>
  <w:tmPrefOne w:val="17"/>
  <w:tmPrefTwo w:val="1"/>
  <w:tmFmtPref w:val="55082475"/>
  <w:tmCommentsPr>
    <w:tmCommentsPlace w:val="0"/>
    <w:tmCommentsWidth w:val="3119"/>
    <w:tmCommentsColor w:val="-1"/>
  </w:tmCommentsPr>
  <w:tmReviewPr>
    <w:tmReviewEnabled w:val="0"/>
    <w:tmReviewShow w:val="1"/>
    <w:tmReviewPrint w:val="1"/>
    <w:tmRevisionNum w:val="8"/>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AppRevision w:date="1589528400"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宋体" w:cs="Times New Roman"/>
        <w:sz w:val="32"/>
        <w:szCs w:val="32"/>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p0" w:customStyle="1">
    <w:name w:val="p0"/>
    <w:qFormat/>
    <w:basedOn w:val=""/>
    <w:pPr>
      <w:widowControl/>
    </w:pPr>
  </w:style>
  <w:style w:type="paragraph" w:styleId="">
    <w:name w:val="List Paragraph"/>
    <w:qFormat/>
    <w:basedOn w:val=""/>
    <w:pPr>
      <w:ind w:firstLine="420"/>
    </w:pPr>
    <w:rPr>
      <w:kern w:val="1"/>
      <w:sz w:val="21"/>
      <w:szCs w:val="20"/>
    </w:rPr>
  </w:style>
  <w:style w:type="paragraph" w:styleId="">
    <w:name w:val="Balloon Text"/>
    <w:qFormat/>
    <w:basedOn w:val=""/>
    <w:rPr>
      <w:kern w:val="1"/>
      <w:sz w:val="18"/>
      <w:szCs w:val="18"/>
    </w:rPr>
  </w:style>
  <w:style w:type="paragraph" w:styleId="">
    <w:name w:val="Header"/>
    <w:qFormat/>
    <w:basedOn w:val=""/>
    <w:pPr>
      <w:spacing/>
      <w:jc w:val="center"/>
      <w:tabs>
        <w:tab w:val="center" w:pos="4153" w:leader="none"/>
        <w:tab w:val="right" w:pos="8306" w:leader="none"/>
      </w:tabs>
      <w:pBdr>
        <w:top w:val="none" w:sz="0" w:space="0" w:color="000000"/>
        <w:left w:val="none" w:sz="0" w:space="0" w:color="000000"/>
        <w:bottom w:val="single" w:sz="6" w:space="1" w:color="000000"/>
        <w:right w:val="none" w:sz="0" w:space="0" w:color="000000"/>
        <w:between w:val="none" w:sz="0" w:space="0" w:color="000000"/>
      </w:pBdr>
      <w:shd w:val="none"/>
    </w:pPr>
    <w:rPr>
      <w:kern w:val="1"/>
      <w:sz w:val="18"/>
      <w:szCs w:val="18"/>
    </w:rPr>
  </w:style>
  <w:style w:type="paragraph" w:styleId="">
    <w:name w:val="Footer"/>
    <w:qFormat/>
    <w:basedOn w:val=""/>
    <w:pPr>
      <w:spacing/>
      <w:jc w:val="left"/>
      <w:tabs>
        <w:tab w:val="center" w:pos="4153" w:leader="none"/>
        <w:tab w:val="right" w:pos="8306" w:leader="none"/>
      </w:tabs>
    </w:pPr>
    <w:rPr>
      <w:kern w:val="1"/>
      <w:sz w:val="18"/>
      <w:szCs w:val="18"/>
    </w:rPr>
  </w:style>
  <w:style w:type="character" w:styleId="" w:default="1">
    <w:name w:val="Default Paragraph Font"/>
    <w:rPr>
      <w:sz w:val="20"/>
      <w:szCs w:val="20"/>
      <w:noProof w:val="1"/>
    </w:rPr>
  </w:style>
  <w:style w:type="character" w:styleId="CharChar1" w:customStyle="1">
    <w:name w:val=" Char Char1"/>
    <w:basedOn w:val=""/>
    <w:rPr>
      <w:kern w:val="1"/>
      <w:sz w:val="18"/>
      <w:szCs w:val="18"/>
    </w:rPr>
  </w:style>
  <w:style w:type="character" w:styleId="CharChar" w:customStyle="1">
    <w:name w:val=" Char Char"/>
    <w:basedOn w:val=""/>
    <w:rPr>
      <w:kern w:val="1"/>
      <w:sz w:val="18"/>
      <w:szCs w:val="18"/>
    </w:rPr>
  </w:style>
  <w:style w:type="character" w:styleId="">
    <w:name w:val="Page Number"/>
    <w:basedOn w:v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sz w:val="32"/>
        <w:szCs w:val="32"/>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p0" w:customStyle="1">
    <w:name w:val="p0"/>
    <w:qFormat/>
    <w:basedOn w:val=""/>
    <w:pPr>
      <w:widowControl/>
    </w:pPr>
  </w:style>
  <w:style w:type="paragraph" w:styleId="">
    <w:name w:val="List Paragraph"/>
    <w:qFormat/>
    <w:basedOn w:val=""/>
    <w:pPr>
      <w:ind w:firstLine="420"/>
    </w:pPr>
    <w:rPr>
      <w:kern w:val="1"/>
      <w:sz w:val="21"/>
      <w:szCs w:val="20"/>
    </w:rPr>
  </w:style>
  <w:style w:type="paragraph" w:styleId="">
    <w:name w:val="Balloon Text"/>
    <w:qFormat/>
    <w:basedOn w:val=""/>
    <w:rPr>
      <w:kern w:val="1"/>
      <w:sz w:val="18"/>
      <w:szCs w:val="18"/>
    </w:rPr>
  </w:style>
  <w:style w:type="paragraph" w:styleId="">
    <w:name w:val="Header"/>
    <w:qFormat/>
    <w:basedOn w:val=""/>
    <w:pPr>
      <w:spacing/>
      <w:jc w:val="center"/>
      <w:tabs>
        <w:tab w:val="center" w:pos="4153" w:leader="none"/>
        <w:tab w:val="right" w:pos="8306" w:leader="none"/>
      </w:tabs>
      <w:pBdr>
        <w:top w:val="none" w:sz="0" w:space="0" w:color="000000"/>
        <w:left w:val="none" w:sz="0" w:space="0" w:color="000000"/>
        <w:bottom w:val="single" w:sz="6" w:space="1" w:color="000000"/>
        <w:right w:val="none" w:sz="0" w:space="0" w:color="000000"/>
        <w:between w:val="none" w:sz="0" w:space="0" w:color="000000"/>
      </w:pBdr>
      <w:shd w:val="none"/>
    </w:pPr>
    <w:rPr>
      <w:kern w:val="1"/>
      <w:sz w:val="18"/>
      <w:szCs w:val="18"/>
    </w:rPr>
  </w:style>
  <w:style w:type="paragraph" w:styleId="">
    <w:name w:val="Footer"/>
    <w:qFormat/>
    <w:basedOn w:val=""/>
    <w:pPr>
      <w:spacing/>
      <w:jc w:val="left"/>
      <w:tabs>
        <w:tab w:val="center" w:pos="4153" w:leader="none"/>
        <w:tab w:val="right" w:pos="8306" w:leader="none"/>
      </w:tabs>
    </w:pPr>
    <w:rPr>
      <w:kern w:val="1"/>
      <w:sz w:val="18"/>
      <w:szCs w:val="18"/>
    </w:rPr>
  </w:style>
  <w:style w:type="character" w:styleId="" w:default="1">
    <w:name w:val="Default Paragraph Font"/>
    <w:rPr>
      <w:sz w:val="20"/>
      <w:szCs w:val="20"/>
      <w:noProof w:val="1"/>
    </w:rPr>
  </w:style>
  <w:style w:type="character" w:styleId="CharChar1" w:customStyle="1">
    <w:name w:val=" Char Char1"/>
    <w:basedOn w:val=""/>
    <w:rPr>
      <w:kern w:val="1"/>
      <w:sz w:val="18"/>
      <w:szCs w:val="18"/>
    </w:rPr>
  </w:style>
  <w:style w:type="character" w:styleId="CharChar" w:customStyle="1">
    <w:name w:val=" Char Char"/>
    <w:basedOn w:val=""/>
    <w:rPr>
      <w:kern w:val="1"/>
      <w:sz w:val="18"/>
      <w:szCs w:val="18"/>
    </w:rPr>
  </w:style>
  <w:style w:type="character" w:styleId="">
    <w:name w:val="Page Number"/>
    <w:basedOn w:v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山东省人力资源和社会保障厅办公室           2017年 月 日印发</dc:title>
  <dc:subject/>
  <dc:creator>User</dc:creator>
  <cp:keywords/>
  <dc:description/>
  <cp:lastModifiedBy>许燕 </cp:lastModifiedBy>
  <cp:revision>8</cp:revision>
  <cp:lastPrinted>2020-05-15T15:22:00Z</cp:lastPrinted>
  <dcterms:created xsi:type="dcterms:W3CDTF">2020-05-15T15:19:00Z</dcterms:created>
  <dcterms:modified xsi:type="dcterms:W3CDTF">2020-05-15T15:40:00Z</dcterms:modified>
</cp:coreProperties>
</file>